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numId w:val="0"/>
        </w:numPr>
        <w:kinsoku/>
        <w:wordWrap/>
        <w:overflowPunct/>
        <w:topLinePunct w:val="0"/>
        <w:autoSpaceDE/>
        <w:autoSpaceDN/>
        <w:bidi w:val="0"/>
        <w:adjustRightInd/>
        <w:snapToGrid/>
        <w:spacing w:before="0" w:beforeLines="100" w:after="0" w:afterLines="100" w:line="360" w:lineRule="auto"/>
        <w:ind w:leftChars="0" w:right="0" w:rightChars="0"/>
        <w:jc w:val="center"/>
        <w:textAlignment w:val="auto"/>
        <w:outlineLvl w:val="0"/>
        <w:rPr>
          <w:rFonts w:hint="eastAsia" w:ascii="微软雅黑" w:hAnsi="微软雅黑" w:eastAsia="微软雅黑" w:cs="微软雅黑"/>
          <w:b w:val="0"/>
          <w:bCs w:val="0"/>
          <w:sz w:val="30"/>
          <w:szCs w:val="30"/>
          <w:lang w:val="en-US" w:eastAsia="zh-CN"/>
        </w:rPr>
      </w:pPr>
      <w:bookmarkStart w:id="0" w:name="_Toc31821"/>
      <w:r>
        <w:rPr>
          <w:rFonts w:hint="eastAsia" w:ascii="微软雅黑" w:hAnsi="微软雅黑" w:eastAsia="微软雅黑" w:cs="微软雅黑"/>
          <w:b w:val="0"/>
          <w:bCs w:val="0"/>
          <w:sz w:val="30"/>
          <w:szCs w:val="30"/>
          <w:lang w:val="en-US" w:eastAsia="zh-CN"/>
        </w:rPr>
        <w:t>目录</w:t>
      </w:r>
      <w:bookmarkEnd w:id="0"/>
    </w:p>
    <w:p>
      <w:pPr>
        <w:pStyle w:val="11"/>
        <w:tabs>
          <w:tab w:val="right" w:leader="dot" w:pos="9090"/>
        </w:tabs>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_Toc31821 </w:instrText>
      </w:r>
      <w:r>
        <w:rPr>
          <w:rFonts w:hint="eastAsia"/>
          <w:lang w:val="en-US" w:eastAsia="zh-CN"/>
        </w:rPr>
        <w:fldChar w:fldCharType="separate"/>
      </w:r>
      <w:r>
        <w:rPr>
          <w:rFonts w:hint="eastAsia" w:ascii="微软雅黑" w:hAnsi="微软雅黑" w:eastAsia="微软雅黑" w:cs="微软雅黑"/>
          <w:bCs w:val="0"/>
          <w:szCs w:val="30"/>
          <w:lang w:val="en-US" w:eastAsia="zh-CN"/>
        </w:rPr>
        <w:t>目录</w:t>
      </w:r>
      <w:r>
        <w:tab/>
      </w:r>
      <w:r>
        <w:fldChar w:fldCharType="begin"/>
      </w:r>
      <w:r>
        <w:instrText xml:space="preserve"> PAGEREF _Toc31821 </w:instrText>
      </w:r>
      <w:r>
        <w:fldChar w:fldCharType="separate"/>
      </w:r>
      <w:r>
        <w:t>1</w:t>
      </w:r>
      <w:r>
        <w:fldChar w:fldCharType="end"/>
      </w:r>
      <w:r>
        <w:rPr>
          <w:rFonts w:hint="eastAsia"/>
          <w:lang w:val="en-US" w:eastAsia="zh-CN"/>
        </w:rPr>
        <w:fldChar w:fldCharType="end"/>
      </w:r>
    </w:p>
    <w:p>
      <w:pPr>
        <w:pStyle w:val="11"/>
        <w:tabs>
          <w:tab w:val="right" w:leader="dot" w:pos="9090"/>
        </w:tabs>
      </w:pPr>
      <w:r>
        <w:rPr>
          <w:rFonts w:hint="eastAsia"/>
          <w:lang w:val="en-US" w:eastAsia="zh-CN"/>
        </w:rPr>
        <w:fldChar w:fldCharType="begin"/>
      </w:r>
      <w:r>
        <w:rPr>
          <w:rFonts w:hint="eastAsia"/>
          <w:lang w:val="en-US" w:eastAsia="zh-CN"/>
        </w:rPr>
        <w:instrText xml:space="preserve"> HYPERLINK \l _Toc16239 </w:instrText>
      </w:r>
      <w:r>
        <w:rPr>
          <w:rFonts w:hint="eastAsia"/>
          <w:lang w:val="en-US" w:eastAsia="zh-CN"/>
        </w:rPr>
        <w:fldChar w:fldCharType="separate"/>
      </w:r>
      <w:r>
        <w:rPr>
          <w:rFonts w:hint="default" w:ascii="微软雅黑" w:hAnsi="微软雅黑" w:eastAsia="微软雅黑" w:cs="微软雅黑"/>
          <w:bCs w:val="0"/>
          <w:szCs w:val="30"/>
          <w:lang w:val="en-US" w:eastAsia="zh-CN"/>
        </w:rPr>
        <w:t xml:space="preserve">第一章 </w:t>
      </w:r>
      <w:r>
        <w:rPr>
          <w:rFonts w:hint="eastAsia" w:ascii="微软雅黑" w:hAnsi="微软雅黑" w:eastAsia="微软雅黑" w:cs="微软雅黑"/>
          <w:bCs w:val="0"/>
          <w:szCs w:val="30"/>
          <w:lang w:val="en-US" w:eastAsia="zh-CN"/>
        </w:rPr>
        <w:t>学院简介</w:t>
      </w:r>
      <w:r>
        <w:tab/>
      </w:r>
      <w:r>
        <w:fldChar w:fldCharType="begin"/>
      </w:r>
      <w:r>
        <w:instrText xml:space="preserve"> PAGEREF _Toc16239 </w:instrText>
      </w:r>
      <w:r>
        <w:fldChar w:fldCharType="separate"/>
      </w:r>
      <w:r>
        <w:t>2</w:t>
      </w:r>
      <w:r>
        <w:fldChar w:fldCharType="end"/>
      </w:r>
      <w:r>
        <w:rPr>
          <w:rFonts w:hint="eastAsia"/>
          <w:lang w:val="en-US" w:eastAsia="zh-CN"/>
        </w:rPr>
        <w:fldChar w:fldCharType="end"/>
      </w:r>
    </w:p>
    <w:p>
      <w:pPr>
        <w:pStyle w:val="11"/>
        <w:tabs>
          <w:tab w:val="right" w:leader="dot" w:pos="9090"/>
        </w:tabs>
      </w:pPr>
      <w:r>
        <w:rPr>
          <w:rFonts w:hint="eastAsia"/>
          <w:lang w:val="en-US" w:eastAsia="zh-CN"/>
        </w:rPr>
        <w:fldChar w:fldCharType="begin"/>
      </w:r>
      <w:r>
        <w:rPr>
          <w:rFonts w:hint="eastAsia"/>
          <w:lang w:val="en-US" w:eastAsia="zh-CN"/>
        </w:rPr>
        <w:instrText xml:space="preserve"> HYPERLINK \l _Toc19732 </w:instrText>
      </w:r>
      <w:r>
        <w:rPr>
          <w:rFonts w:hint="eastAsia"/>
          <w:lang w:val="en-US" w:eastAsia="zh-CN"/>
        </w:rPr>
        <w:fldChar w:fldCharType="separate"/>
      </w:r>
      <w:r>
        <w:rPr>
          <w:rFonts w:hint="default" w:ascii="微软雅黑" w:hAnsi="微软雅黑" w:eastAsia="微软雅黑" w:cs="微软雅黑"/>
          <w:bCs w:val="0"/>
          <w:szCs w:val="30"/>
          <w:lang w:val="en-US" w:eastAsia="zh-CN"/>
        </w:rPr>
        <w:t xml:space="preserve">第二章 </w:t>
      </w:r>
      <w:r>
        <w:rPr>
          <w:rFonts w:hint="eastAsia" w:ascii="微软雅黑" w:hAnsi="微软雅黑" w:eastAsia="微软雅黑" w:cs="微软雅黑"/>
          <w:bCs w:val="0"/>
          <w:szCs w:val="30"/>
          <w:lang w:val="en-US" w:eastAsia="zh-CN"/>
        </w:rPr>
        <w:t>毕业生的规模和结构</w:t>
      </w:r>
      <w:r>
        <w:tab/>
      </w:r>
      <w:r>
        <w:fldChar w:fldCharType="begin"/>
      </w:r>
      <w:r>
        <w:instrText xml:space="preserve"> PAGEREF _Toc19732 </w:instrText>
      </w:r>
      <w:r>
        <w:fldChar w:fldCharType="separate"/>
      </w:r>
      <w:r>
        <w:t>3</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_Toc25529 </w:instrText>
      </w:r>
      <w:r>
        <w:rPr>
          <w:rFonts w:hint="eastAsia"/>
          <w:lang w:val="en-US" w:eastAsia="zh-CN"/>
        </w:rPr>
        <w:fldChar w:fldCharType="separate"/>
      </w:r>
      <w:r>
        <w:rPr>
          <w:rFonts w:hint="eastAsia" w:ascii="微软雅黑" w:hAnsi="微软雅黑" w:eastAsia="微软雅黑" w:cs="微软雅黑"/>
          <w:bCs w:val="0"/>
          <w:szCs w:val="28"/>
        </w:rPr>
        <w:t>(一) 总体规模</w:t>
      </w:r>
      <w:r>
        <w:tab/>
      </w:r>
      <w:r>
        <w:fldChar w:fldCharType="begin"/>
      </w:r>
      <w:r>
        <w:instrText xml:space="preserve"> PAGEREF _Toc25529 </w:instrText>
      </w:r>
      <w:r>
        <w:fldChar w:fldCharType="separate"/>
      </w:r>
      <w:r>
        <w:t>3</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_Toc21247 </w:instrText>
      </w:r>
      <w:r>
        <w:rPr>
          <w:rFonts w:hint="eastAsia"/>
          <w:lang w:val="en-US" w:eastAsia="zh-CN"/>
        </w:rPr>
        <w:fldChar w:fldCharType="separate"/>
      </w:r>
      <w:r>
        <w:rPr>
          <w:rFonts w:hint="eastAsia" w:ascii="微软雅黑" w:hAnsi="微软雅黑" w:eastAsia="微软雅黑" w:cs="微软雅黑"/>
          <w:bCs w:val="0"/>
          <w:szCs w:val="28"/>
        </w:rPr>
        <w:t>(二) 结构分布</w:t>
      </w:r>
      <w:r>
        <w:tab/>
      </w:r>
      <w:r>
        <w:fldChar w:fldCharType="begin"/>
      </w:r>
      <w:r>
        <w:instrText xml:space="preserve"> PAGEREF _Toc21247 </w:instrText>
      </w:r>
      <w:r>
        <w:fldChar w:fldCharType="separate"/>
      </w:r>
      <w:r>
        <w:t>4</w:t>
      </w:r>
      <w:r>
        <w:fldChar w:fldCharType="end"/>
      </w:r>
      <w:r>
        <w:rPr>
          <w:rFonts w:hint="eastAsia"/>
          <w:lang w:val="en-US" w:eastAsia="zh-CN"/>
        </w:rPr>
        <w:fldChar w:fldCharType="end"/>
      </w:r>
    </w:p>
    <w:p>
      <w:pPr>
        <w:pStyle w:val="11"/>
        <w:tabs>
          <w:tab w:val="right" w:leader="dot" w:pos="9090"/>
        </w:tabs>
      </w:pPr>
      <w:r>
        <w:rPr>
          <w:rFonts w:hint="eastAsia"/>
          <w:lang w:val="en-US" w:eastAsia="zh-CN"/>
        </w:rPr>
        <w:fldChar w:fldCharType="begin"/>
      </w:r>
      <w:r>
        <w:rPr>
          <w:rFonts w:hint="eastAsia"/>
          <w:lang w:val="en-US" w:eastAsia="zh-CN"/>
        </w:rPr>
        <w:instrText xml:space="preserve"> HYPERLINK \l _Toc21950 </w:instrText>
      </w:r>
      <w:r>
        <w:rPr>
          <w:rFonts w:hint="eastAsia"/>
          <w:lang w:val="en-US" w:eastAsia="zh-CN"/>
        </w:rPr>
        <w:fldChar w:fldCharType="separate"/>
      </w:r>
      <w:r>
        <w:rPr>
          <w:rFonts w:hint="default" w:ascii="微软雅黑" w:hAnsi="微软雅黑" w:eastAsia="微软雅黑" w:cs="微软雅黑"/>
          <w:bCs w:val="0"/>
          <w:szCs w:val="30"/>
          <w:lang w:val="en-US" w:eastAsia="zh-CN"/>
        </w:rPr>
        <w:t xml:space="preserve">第三章 </w:t>
      </w:r>
      <w:r>
        <w:rPr>
          <w:rFonts w:hint="eastAsia" w:ascii="微软雅黑" w:hAnsi="微软雅黑" w:eastAsia="微软雅黑" w:cs="微软雅黑"/>
          <w:bCs w:val="0"/>
          <w:szCs w:val="30"/>
          <w:lang w:val="en-US" w:eastAsia="zh-CN"/>
        </w:rPr>
        <w:t>就业率</w:t>
      </w:r>
      <w:r>
        <w:tab/>
      </w:r>
      <w:r>
        <w:fldChar w:fldCharType="begin"/>
      </w:r>
      <w:r>
        <w:instrText xml:space="preserve"> PAGEREF _Toc21950 </w:instrText>
      </w:r>
      <w:r>
        <w:fldChar w:fldCharType="separate"/>
      </w:r>
      <w:r>
        <w:t>7</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_Toc23869 </w:instrText>
      </w:r>
      <w:r>
        <w:rPr>
          <w:rFonts w:hint="eastAsia"/>
          <w:lang w:val="en-US" w:eastAsia="zh-CN"/>
        </w:rPr>
        <w:fldChar w:fldCharType="separate"/>
      </w:r>
      <w:r>
        <w:rPr>
          <w:rFonts w:hint="eastAsia" w:ascii="微软雅黑" w:hAnsi="微软雅黑" w:eastAsia="微软雅黑" w:cs="微软雅黑"/>
          <w:bCs w:val="0"/>
          <w:szCs w:val="28"/>
        </w:rPr>
        <w:t>(一) 总体就业率</w:t>
      </w:r>
      <w:r>
        <w:tab/>
      </w:r>
      <w:r>
        <w:fldChar w:fldCharType="begin"/>
      </w:r>
      <w:r>
        <w:instrText xml:space="preserve"> PAGEREF _Toc23869 </w:instrText>
      </w:r>
      <w:r>
        <w:fldChar w:fldCharType="separate"/>
      </w:r>
      <w:r>
        <w:t>7</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_Toc21309 </w:instrText>
      </w:r>
      <w:r>
        <w:rPr>
          <w:rFonts w:hint="eastAsia"/>
          <w:lang w:val="en-US" w:eastAsia="zh-CN"/>
        </w:rPr>
        <w:fldChar w:fldCharType="separate"/>
      </w:r>
      <w:r>
        <w:rPr>
          <w:rFonts w:hint="eastAsia" w:ascii="微软雅黑" w:hAnsi="微软雅黑" w:eastAsia="微软雅黑" w:cs="微软雅黑"/>
          <w:bCs w:val="0"/>
          <w:szCs w:val="28"/>
        </w:rPr>
        <w:t>(二) 面向基层就业情况分布</w:t>
      </w:r>
      <w:r>
        <w:tab/>
      </w:r>
      <w:r>
        <w:fldChar w:fldCharType="begin"/>
      </w:r>
      <w:r>
        <w:instrText xml:space="preserve"> PAGEREF _Toc21309 </w:instrText>
      </w:r>
      <w:r>
        <w:fldChar w:fldCharType="separate"/>
      </w:r>
      <w:r>
        <w:t>8</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_Toc22707 </w:instrText>
      </w:r>
      <w:r>
        <w:rPr>
          <w:rFonts w:hint="eastAsia"/>
          <w:lang w:val="en-US" w:eastAsia="zh-CN"/>
        </w:rPr>
        <w:fldChar w:fldCharType="separate"/>
      </w:r>
      <w:r>
        <w:rPr>
          <w:rFonts w:hint="eastAsia" w:ascii="微软雅黑" w:hAnsi="微软雅黑" w:eastAsia="微软雅黑" w:cs="微软雅黑"/>
          <w:bCs w:val="0"/>
          <w:szCs w:val="28"/>
        </w:rPr>
        <w:t>(三) 未就业分析</w:t>
      </w:r>
      <w:r>
        <w:tab/>
      </w:r>
      <w:r>
        <w:fldChar w:fldCharType="begin"/>
      </w:r>
      <w:r>
        <w:instrText xml:space="preserve"> PAGEREF _Toc22707 </w:instrText>
      </w:r>
      <w:r>
        <w:fldChar w:fldCharType="separate"/>
      </w:r>
      <w:r>
        <w:t>8</w:t>
      </w:r>
      <w:r>
        <w:fldChar w:fldCharType="end"/>
      </w:r>
      <w:r>
        <w:rPr>
          <w:rFonts w:hint="eastAsia"/>
          <w:lang w:val="en-US" w:eastAsia="zh-CN"/>
        </w:rPr>
        <w:fldChar w:fldCharType="end"/>
      </w:r>
    </w:p>
    <w:p>
      <w:pPr>
        <w:pStyle w:val="11"/>
        <w:tabs>
          <w:tab w:val="right" w:leader="dot" w:pos="9090"/>
        </w:tabs>
      </w:pPr>
      <w:r>
        <w:rPr>
          <w:rFonts w:hint="eastAsia"/>
          <w:lang w:val="en-US" w:eastAsia="zh-CN"/>
        </w:rPr>
        <w:fldChar w:fldCharType="begin"/>
      </w:r>
      <w:r>
        <w:rPr>
          <w:rFonts w:hint="eastAsia"/>
          <w:lang w:val="en-US" w:eastAsia="zh-CN"/>
        </w:rPr>
        <w:instrText xml:space="preserve"> HYPERLINK \l _Toc11042 </w:instrText>
      </w:r>
      <w:r>
        <w:rPr>
          <w:rFonts w:hint="eastAsia"/>
          <w:lang w:val="en-US" w:eastAsia="zh-CN"/>
        </w:rPr>
        <w:fldChar w:fldCharType="separate"/>
      </w:r>
      <w:r>
        <w:rPr>
          <w:rFonts w:hint="default" w:ascii="微软雅黑" w:hAnsi="微软雅黑" w:eastAsia="微软雅黑" w:cs="微软雅黑"/>
          <w:bCs w:val="0"/>
          <w:szCs w:val="30"/>
          <w:lang w:val="en-US" w:eastAsia="zh-CN"/>
        </w:rPr>
        <w:t xml:space="preserve">第四章 </w:t>
      </w:r>
      <w:r>
        <w:rPr>
          <w:rFonts w:hint="eastAsia" w:ascii="微软雅黑" w:hAnsi="微软雅黑" w:eastAsia="微软雅黑" w:cs="微软雅黑"/>
          <w:bCs w:val="0"/>
          <w:szCs w:val="30"/>
          <w:lang w:val="en-US" w:eastAsia="zh-CN"/>
        </w:rPr>
        <w:t>毕业流向</w:t>
      </w:r>
      <w:r>
        <w:tab/>
      </w:r>
      <w:r>
        <w:fldChar w:fldCharType="begin"/>
      </w:r>
      <w:r>
        <w:instrText xml:space="preserve"> PAGEREF _Toc11042 </w:instrText>
      </w:r>
      <w:r>
        <w:fldChar w:fldCharType="separate"/>
      </w:r>
      <w:r>
        <w:t>10</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_Toc32718 </w:instrText>
      </w:r>
      <w:r>
        <w:rPr>
          <w:rFonts w:hint="eastAsia"/>
          <w:lang w:val="en-US" w:eastAsia="zh-CN"/>
        </w:rPr>
        <w:fldChar w:fldCharType="separate"/>
      </w:r>
      <w:r>
        <w:rPr>
          <w:rFonts w:hint="eastAsia" w:ascii="微软雅黑" w:hAnsi="微软雅黑" w:eastAsia="微软雅黑" w:cs="微软雅黑"/>
          <w:bCs w:val="0"/>
          <w:szCs w:val="28"/>
        </w:rPr>
        <w:t>(一) 毕业去向分析</w:t>
      </w:r>
      <w:r>
        <w:tab/>
      </w:r>
      <w:r>
        <w:fldChar w:fldCharType="begin"/>
      </w:r>
      <w:r>
        <w:instrText xml:space="preserve"> PAGEREF _Toc32718 </w:instrText>
      </w:r>
      <w:r>
        <w:fldChar w:fldCharType="separate"/>
      </w:r>
      <w:r>
        <w:t>10</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_Toc143 </w:instrText>
      </w:r>
      <w:r>
        <w:rPr>
          <w:rFonts w:hint="eastAsia"/>
          <w:lang w:val="en-US" w:eastAsia="zh-CN"/>
        </w:rPr>
        <w:fldChar w:fldCharType="separate"/>
      </w:r>
      <w:r>
        <w:rPr>
          <w:rFonts w:hint="eastAsia" w:ascii="微软雅黑" w:hAnsi="微软雅黑" w:eastAsia="微软雅黑" w:cs="微软雅黑"/>
          <w:bCs w:val="0"/>
          <w:szCs w:val="28"/>
        </w:rPr>
        <w:t>(二) 单位行业分析</w:t>
      </w:r>
      <w:r>
        <w:tab/>
      </w:r>
      <w:r>
        <w:fldChar w:fldCharType="begin"/>
      </w:r>
      <w:r>
        <w:instrText xml:space="preserve"> PAGEREF _Toc143 </w:instrText>
      </w:r>
      <w:r>
        <w:fldChar w:fldCharType="separate"/>
      </w:r>
      <w:r>
        <w:t>10</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_Toc6637 </w:instrText>
      </w:r>
      <w:r>
        <w:rPr>
          <w:rFonts w:hint="eastAsia"/>
          <w:lang w:val="en-US" w:eastAsia="zh-CN"/>
        </w:rPr>
        <w:fldChar w:fldCharType="separate"/>
      </w:r>
      <w:r>
        <w:rPr>
          <w:rFonts w:hint="eastAsia" w:ascii="微软雅黑" w:hAnsi="微软雅黑" w:eastAsia="微软雅黑" w:cs="微软雅黑"/>
          <w:bCs w:val="0"/>
          <w:szCs w:val="28"/>
        </w:rPr>
        <w:t>(三) 单位性质分析</w:t>
      </w:r>
      <w:r>
        <w:tab/>
      </w:r>
      <w:r>
        <w:fldChar w:fldCharType="begin"/>
      </w:r>
      <w:r>
        <w:instrText xml:space="preserve"> PAGEREF _Toc6637 </w:instrText>
      </w:r>
      <w:r>
        <w:fldChar w:fldCharType="separate"/>
      </w:r>
      <w:r>
        <w:t>11</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_Toc29475 </w:instrText>
      </w:r>
      <w:r>
        <w:rPr>
          <w:rFonts w:hint="eastAsia"/>
          <w:lang w:val="en-US" w:eastAsia="zh-CN"/>
        </w:rPr>
        <w:fldChar w:fldCharType="separate"/>
      </w:r>
      <w:r>
        <w:rPr>
          <w:rFonts w:hint="eastAsia" w:ascii="微软雅黑" w:hAnsi="微软雅黑" w:eastAsia="微软雅黑" w:cs="微软雅黑"/>
          <w:bCs w:val="0"/>
          <w:szCs w:val="28"/>
        </w:rPr>
        <w:t>(四) 工作岗位分析</w:t>
      </w:r>
      <w:r>
        <w:tab/>
      </w:r>
      <w:r>
        <w:fldChar w:fldCharType="begin"/>
      </w:r>
      <w:r>
        <w:instrText xml:space="preserve"> PAGEREF _Toc29475 </w:instrText>
      </w:r>
      <w:r>
        <w:fldChar w:fldCharType="separate"/>
      </w:r>
      <w:r>
        <w:t>12</w:t>
      </w:r>
      <w:r>
        <w:fldChar w:fldCharType="end"/>
      </w:r>
      <w:r>
        <w:rPr>
          <w:rFonts w:hint="eastAsia"/>
          <w:lang w:val="en-US" w:eastAsia="zh-CN"/>
        </w:rPr>
        <w:fldChar w:fldCharType="end"/>
      </w:r>
    </w:p>
    <w:p>
      <w:pPr>
        <w:pStyle w:val="11"/>
        <w:tabs>
          <w:tab w:val="right" w:leader="dot" w:pos="9090"/>
        </w:tabs>
      </w:pPr>
      <w:r>
        <w:rPr>
          <w:rFonts w:hint="eastAsia"/>
          <w:lang w:val="en-US" w:eastAsia="zh-CN"/>
        </w:rPr>
        <w:fldChar w:fldCharType="begin"/>
      </w:r>
      <w:r>
        <w:rPr>
          <w:rFonts w:hint="eastAsia"/>
          <w:lang w:val="en-US" w:eastAsia="zh-CN"/>
        </w:rPr>
        <w:instrText xml:space="preserve"> HYPERLINK \l _Toc20226 </w:instrText>
      </w:r>
      <w:r>
        <w:rPr>
          <w:rFonts w:hint="eastAsia"/>
          <w:lang w:val="en-US" w:eastAsia="zh-CN"/>
        </w:rPr>
        <w:fldChar w:fldCharType="separate"/>
      </w:r>
      <w:r>
        <w:rPr>
          <w:rFonts w:hint="default" w:ascii="微软雅黑" w:hAnsi="微软雅黑" w:eastAsia="微软雅黑" w:cs="微软雅黑"/>
          <w:bCs w:val="0"/>
          <w:szCs w:val="30"/>
          <w:lang w:val="en-US" w:eastAsia="zh-CN"/>
        </w:rPr>
        <w:t xml:space="preserve">第五章 </w:t>
      </w:r>
      <w:r>
        <w:rPr>
          <w:rFonts w:hint="eastAsia" w:ascii="微软雅黑" w:hAnsi="微软雅黑" w:eastAsia="微软雅黑" w:cs="微软雅黑"/>
          <w:bCs w:val="0"/>
          <w:szCs w:val="30"/>
          <w:lang w:val="en-US" w:eastAsia="zh-CN"/>
        </w:rPr>
        <w:t>就业地域流向分析</w:t>
      </w:r>
      <w:r>
        <w:tab/>
      </w:r>
      <w:r>
        <w:fldChar w:fldCharType="begin"/>
      </w:r>
      <w:r>
        <w:instrText xml:space="preserve"> PAGEREF _Toc20226 </w:instrText>
      </w:r>
      <w:r>
        <w:fldChar w:fldCharType="separate"/>
      </w:r>
      <w:r>
        <w:t>12</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_Toc16015 </w:instrText>
      </w:r>
      <w:r>
        <w:rPr>
          <w:rFonts w:hint="eastAsia"/>
          <w:lang w:val="en-US" w:eastAsia="zh-CN"/>
        </w:rPr>
        <w:fldChar w:fldCharType="separate"/>
      </w:r>
      <w:r>
        <w:rPr>
          <w:rFonts w:hint="eastAsia" w:ascii="微软雅黑" w:hAnsi="微软雅黑" w:eastAsia="微软雅黑" w:cs="微软雅黑"/>
          <w:bCs w:val="0"/>
          <w:szCs w:val="28"/>
        </w:rPr>
        <w:t>(一) 就业地区域类型</w:t>
      </w:r>
      <w:r>
        <w:tab/>
      </w:r>
      <w:r>
        <w:fldChar w:fldCharType="begin"/>
      </w:r>
      <w:r>
        <w:instrText xml:space="preserve"> PAGEREF _Toc16015 </w:instrText>
      </w:r>
      <w:r>
        <w:fldChar w:fldCharType="separate"/>
      </w:r>
      <w:r>
        <w:t>12</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_Toc31072 </w:instrText>
      </w:r>
      <w:r>
        <w:rPr>
          <w:rFonts w:hint="eastAsia"/>
          <w:lang w:val="en-US" w:eastAsia="zh-CN"/>
        </w:rPr>
        <w:fldChar w:fldCharType="separate"/>
      </w:r>
      <w:r>
        <w:rPr>
          <w:rFonts w:hint="eastAsia" w:ascii="微软雅黑" w:hAnsi="微软雅黑" w:eastAsia="微软雅黑" w:cs="微软雅黑"/>
          <w:bCs w:val="0"/>
          <w:szCs w:val="28"/>
        </w:rPr>
        <w:t>(二) 毕业生回原籍工作分析</w:t>
      </w:r>
      <w:r>
        <w:tab/>
      </w:r>
      <w:r>
        <w:fldChar w:fldCharType="begin"/>
      </w:r>
      <w:r>
        <w:instrText xml:space="preserve"> PAGEREF _Toc31072 </w:instrText>
      </w:r>
      <w:r>
        <w:fldChar w:fldCharType="separate"/>
      </w:r>
      <w:r>
        <w:t>14</w:t>
      </w:r>
      <w:r>
        <w:fldChar w:fldCharType="end"/>
      </w:r>
      <w:r>
        <w:rPr>
          <w:rFonts w:hint="eastAsia"/>
          <w:lang w:val="en-US" w:eastAsia="zh-CN"/>
        </w:rPr>
        <w:fldChar w:fldCharType="end"/>
      </w:r>
    </w:p>
    <w:p>
      <w:pPr>
        <w:pStyle w:val="11"/>
        <w:tabs>
          <w:tab w:val="right" w:leader="dot" w:pos="9090"/>
        </w:tabs>
      </w:pPr>
      <w:r>
        <w:rPr>
          <w:rFonts w:hint="eastAsia"/>
          <w:lang w:val="en-US" w:eastAsia="zh-CN"/>
        </w:rPr>
        <w:fldChar w:fldCharType="begin"/>
      </w:r>
      <w:r>
        <w:rPr>
          <w:rFonts w:hint="eastAsia"/>
          <w:lang w:val="en-US" w:eastAsia="zh-CN"/>
        </w:rPr>
        <w:instrText xml:space="preserve"> HYPERLINK \l _Toc13237 </w:instrText>
      </w:r>
      <w:r>
        <w:rPr>
          <w:rFonts w:hint="eastAsia"/>
          <w:lang w:val="en-US" w:eastAsia="zh-CN"/>
        </w:rPr>
        <w:fldChar w:fldCharType="separate"/>
      </w:r>
      <w:r>
        <w:rPr>
          <w:rFonts w:hint="default" w:ascii="微软雅黑" w:hAnsi="微软雅黑" w:eastAsia="微软雅黑" w:cs="微软雅黑"/>
          <w:bCs w:val="0"/>
          <w:szCs w:val="30"/>
          <w:lang w:val="en-US" w:eastAsia="zh-CN"/>
        </w:rPr>
        <w:t xml:space="preserve">第六章 </w:t>
      </w:r>
      <w:r>
        <w:rPr>
          <w:rFonts w:hint="eastAsia" w:ascii="微软雅黑" w:hAnsi="微软雅黑" w:eastAsia="微软雅黑" w:cs="微软雅黑"/>
          <w:bCs w:val="0"/>
          <w:szCs w:val="30"/>
          <w:lang w:val="en-US" w:eastAsia="zh-CN"/>
        </w:rPr>
        <w:t>求职分析</w:t>
      </w:r>
      <w:r>
        <w:tab/>
      </w:r>
      <w:r>
        <w:fldChar w:fldCharType="begin"/>
      </w:r>
      <w:r>
        <w:instrText xml:space="preserve"> PAGEREF _Toc13237 </w:instrText>
      </w:r>
      <w:r>
        <w:fldChar w:fldCharType="separate"/>
      </w:r>
      <w:r>
        <w:t>15</w:t>
      </w:r>
      <w:r>
        <w:fldChar w:fldCharType="end"/>
      </w:r>
      <w:r>
        <w:rPr>
          <w:rFonts w:hint="eastAsia"/>
          <w:lang w:val="en-US" w:eastAsia="zh-CN"/>
        </w:rPr>
        <w:fldChar w:fldCharType="end"/>
      </w:r>
    </w:p>
    <w:p>
      <w:pPr>
        <w:pStyle w:val="11"/>
        <w:tabs>
          <w:tab w:val="right" w:leader="dot" w:pos="9090"/>
        </w:tabs>
      </w:pPr>
      <w:r>
        <w:rPr>
          <w:rFonts w:hint="eastAsia"/>
          <w:lang w:val="en-US" w:eastAsia="zh-CN"/>
        </w:rPr>
        <w:fldChar w:fldCharType="begin"/>
      </w:r>
      <w:r>
        <w:rPr>
          <w:rFonts w:hint="eastAsia"/>
          <w:lang w:val="en-US" w:eastAsia="zh-CN"/>
        </w:rPr>
        <w:instrText xml:space="preserve"> HYPERLINK \l _Toc28366 </w:instrText>
      </w:r>
      <w:r>
        <w:rPr>
          <w:rFonts w:hint="eastAsia"/>
          <w:lang w:val="en-US" w:eastAsia="zh-CN"/>
        </w:rPr>
        <w:fldChar w:fldCharType="separate"/>
      </w:r>
      <w:r>
        <w:rPr>
          <w:rFonts w:hint="default" w:ascii="微软雅黑" w:hAnsi="微软雅黑" w:eastAsia="微软雅黑" w:cs="微软雅黑"/>
          <w:bCs w:val="0"/>
          <w:szCs w:val="30"/>
          <w:lang w:val="en-US" w:eastAsia="zh-CN"/>
        </w:rPr>
        <w:t xml:space="preserve">第七章 </w:t>
      </w:r>
      <w:r>
        <w:rPr>
          <w:rFonts w:hint="eastAsia" w:ascii="微软雅黑" w:hAnsi="微软雅黑" w:eastAsia="微软雅黑" w:cs="微软雅黑"/>
          <w:bCs w:val="0"/>
          <w:szCs w:val="30"/>
          <w:lang w:val="en-US" w:eastAsia="zh-CN"/>
        </w:rPr>
        <w:t>满意度调查分析</w:t>
      </w:r>
      <w:r>
        <w:tab/>
      </w:r>
      <w:r>
        <w:fldChar w:fldCharType="begin"/>
      </w:r>
      <w:r>
        <w:instrText xml:space="preserve"> PAGEREF _Toc28366 </w:instrText>
      </w:r>
      <w:r>
        <w:fldChar w:fldCharType="separate"/>
      </w:r>
      <w:r>
        <w:t>18</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_Toc16360 </w:instrText>
      </w:r>
      <w:r>
        <w:rPr>
          <w:rFonts w:hint="eastAsia"/>
          <w:lang w:val="en-US" w:eastAsia="zh-CN"/>
        </w:rPr>
        <w:fldChar w:fldCharType="separate"/>
      </w:r>
      <w:r>
        <w:rPr>
          <w:rFonts w:hint="eastAsia" w:ascii="微软雅黑" w:hAnsi="微软雅黑" w:eastAsia="微软雅黑" w:cs="微软雅黑"/>
          <w:bCs w:val="0"/>
          <w:szCs w:val="28"/>
          <w:lang w:val="en-US" w:eastAsia="zh-CN"/>
        </w:rPr>
        <w:t>(一) 用人单位满意度调查</w:t>
      </w:r>
      <w:r>
        <w:tab/>
      </w:r>
      <w:r>
        <w:fldChar w:fldCharType="begin"/>
      </w:r>
      <w:r>
        <w:instrText xml:space="preserve"> PAGEREF _Toc16360 </w:instrText>
      </w:r>
      <w:r>
        <w:fldChar w:fldCharType="separate"/>
      </w:r>
      <w:r>
        <w:t>18</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_Toc17238 </w:instrText>
      </w:r>
      <w:r>
        <w:rPr>
          <w:rFonts w:hint="eastAsia"/>
          <w:lang w:val="en-US" w:eastAsia="zh-CN"/>
        </w:rPr>
        <w:fldChar w:fldCharType="separate"/>
      </w:r>
      <w:r>
        <w:rPr>
          <w:rFonts w:hint="eastAsia" w:ascii="微软雅黑" w:hAnsi="微软雅黑" w:eastAsia="微软雅黑" w:cs="微软雅黑"/>
          <w:bCs w:val="0"/>
          <w:szCs w:val="28"/>
          <w:lang w:val="en-US" w:eastAsia="zh-CN"/>
        </w:rPr>
        <w:t>(二) 毕业生满意度调查</w:t>
      </w:r>
      <w:r>
        <w:tab/>
      </w:r>
      <w:r>
        <w:fldChar w:fldCharType="begin"/>
      </w:r>
      <w:r>
        <w:instrText xml:space="preserve"> PAGEREF _Toc17238 </w:instrText>
      </w:r>
      <w:r>
        <w:fldChar w:fldCharType="separate"/>
      </w:r>
      <w:r>
        <w:t>18</w:t>
      </w:r>
      <w:r>
        <w:fldChar w:fldCharType="end"/>
      </w:r>
      <w:r>
        <w:rPr>
          <w:rFonts w:hint="eastAsia"/>
          <w:lang w:val="en-US" w:eastAsia="zh-CN"/>
        </w:rPr>
        <w:fldChar w:fldCharType="end"/>
      </w:r>
    </w:p>
    <w:p>
      <w:pPr>
        <w:pStyle w:val="11"/>
        <w:tabs>
          <w:tab w:val="right" w:leader="dot" w:pos="9090"/>
        </w:tabs>
      </w:pPr>
      <w:r>
        <w:rPr>
          <w:rFonts w:hint="eastAsia"/>
          <w:lang w:val="en-US" w:eastAsia="zh-CN"/>
        </w:rPr>
        <w:fldChar w:fldCharType="begin"/>
      </w:r>
      <w:r>
        <w:rPr>
          <w:rFonts w:hint="eastAsia"/>
          <w:lang w:val="en-US" w:eastAsia="zh-CN"/>
        </w:rPr>
        <w:instrText xml:space="preserve"> HYPERLINK \l _Toc6921 </w:instrText>
      </w:r>
      <w:r>
        <w:rPr>
          <w:rFonts w:hint="eastAsia"/>
          <w:lang w:val="en-US" w:eastAsia="zh-CN"/>
        </w:rPr>
        <w:fldChar w:fldCharType="separate"/>
      </w:r>
      <w:r>
        <w:rPr>
          <w:rFonts w:hint="default" w:ascii="微软雅黑" w:hAnsi="微软雅黑" w:eastAsia="微软雅黑" w:cs="微软雅黑"/>
          <w:bCs w:val="0"/>
          <w:szCs w:val="30"/>
          <w:lang w:val="en-US" w:eastAsia="zh-CN"/>
        </w:rPr>
        <w:t xml:space="preserve">第八章 </w:t>
      </w:r>
      <w:r>
        <w:rPr>
          <w:rFonts w:hint="eastAsia" w:ascii="微软雅黑" w:hAnsi="微软雅黑" w:eastAsia="微软雅黑" w:cs="微软雅黑"/>
          <w:bCs w:val="0"/>
          <w:szCs w:val="30"/>
          <w:lang w:val="en-US" w:eastAsia="zh-CN"/>
        </w:rPr>
        <w:t>三、毕业生就业工作的主要特点</w:t>
      </w:r>
      <w:r>
        <w:tab/>
      </w:r>
      <w:r>
        <w:fldChar w:fldCharType="begin"/>
      </w:r>
      <w:r>
        <w:instrText xml:space="preserve"> PAGEREF _Toc6921 </w:instrText>
      </w:r>
      <w:r>
        <w:fldChar w:fldCharType="separate"/>
      </w:r>
      <w:r>
        <w:t>19</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_Toc23401 </w:instrText>
      </w:r>
      <w:r>
        <w:rPr>
          <w:rFonts w:hint="eastAsia"/>
          <w:lang w:val="en-US" w:eastAsia="zh-CN"/>
        </w:rPr>
        <w:fldChar w:fldCharType="separate"/>
      </w:r>
      <w:r>
        <w:rPr>
          <w:rFonts w:hint="eastAsia" w:ascii="微软雅黑" w:hAnsi="微软雅黑" w:eastAsia="微软雅黑" w:cs="微软雅黑"/>
          <w:bCs w:val="0"/>
          <w:szCs w:val="28"/>
          <w:lang w:val="en-US" w:eastAsia="zh-CN"/>
        </w:rPr>
        <w:t>(一) 学院领导重视毕业生就业工作</w:t>
      </w:r>
      <w:r>
        <w:tab/>
      </w:r>
      <w:r>
        <w:fldChar w:fldCharType="begin"/>
      </w:r>
      <w:r>
        <w:instrText xml:space="preserve"> PAGEREF _Toc23401 </w:instrText>
      </w:r>
      <w:r>
        <w:fldChar w:fldCharType="separate"/>
      </w:r>
      <w:r>
        <w:t>19</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_Toc15243 </w:instrText>
      </w:r>
      <w:r>
        <w:rPr>
          <w:rFonts w:hint="eastAsia"/>
          <w:lang w:val="en-US" w:eastAsia="zh-CN"/>
        </w:rPr>
        <w:fldChar w:fldCharType="separate"/>
      </w:r>
      <w:r>
        <w:rPr>
          <w:rFonts w:hint="eastAsia" w:ascii="微软雅黑" w:hAnsi="微软雅黑" w:eastAsia="微软雅黑" w:cs="微软雅黑"/>
          <w:bCs w:val="0"/>
          <w:szCs w:val="28"/>
          <w:lang w:val="en-US" w:eastAsia="zh-CN"/>
        </w:rPr>
        <w:t>(二) 落实毕业生就业创业规定</w:t>
      </w:r>
      <w:r>
        <w:tab/>
      </w:r>
      <w:r>
        <w:fldChar w:fldCharType="begin"/>
      </w:r>
      <w:r>
        <w:instrText xml:space="preserve"> PAGEREF _Toc15243 </w:instrText>
      </w:r>
      <w:r>
        <w:fldChar w:fldCharType="separate"/>
      </w:r>
      <w:r>
        <w:t>19</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_Toc4178 </w:instrText>
      </w:r>
      <w:r>
        <w:rPr>
          <w:rFonts w:hint="eastAsia"/>
          <w:lang w:val="en-US" w:eastAsia="zh-CN"/>
        </w:rPr>
        <w:fldChar w:fldCharType="separate"/>
      </w:r>
      <w:r>
        <w:rPr>
          <w:rFonts w:hint="eastAsia" w:ascii="微软雅黑" w:hAnsi="微软雅黑" w:eastAsia="微软雅黑" w:cs="微软雅黑"/>
          <w:bCs w:val="0"/>
          <w:szCs w:val="28"/>
          <w:lang w:val="en-US" w:eastAsia="zh-CN"/>
        </w:rPr>
        <w:t>(三) 积极开展就业创业教育</w:t>
      </w:r>
      <w:r>
        <w:tab/>
      </w:r>
      <w:r>
        <w:fldChar w:fldCharType="begin"/>
      </w:r>
      <w:r>
        <w:instrText xml:space="preserve"> PAGEREF _Toc4178 </w:instrText>
      </w:r>
      <w:r>
        <w:fldChar w:fldCharType="separate"/>
      </w:r>
      <w:r>
        <w:t>19</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_Toc26537 </w:instrText>
      </w:r>
      <w:r>
        <w:rPr>
          <w:rFonts w:hint="eastAsia"/>
          <w:lang w:val="en-US" w:eastAsia="zh-CN"/>
        </w:rPr>
        <w:fldChar w:fldCharType="separate"/>
      </w:r>
      <w:r>
        <w:rPr>
          <w:rFonts w:hint="eastAsia" w:ascii="微软雅黑" w:hAnsi="微软雅黑" w:eastAsia="微软雅黑" w:cs="微软雅黑"/>
          <w:bCs w:val="0"/>
          <w:szCs w:val="28"/>
          <w:lang w:val="en-US" w:eastAsia="zh-CN"/>
        </w:rPr>
        <w:t>(四) 加大毕业生就业实习基地建设</w:t>
      </w:r>
      <w:r>
        <w:tab/>
      </w:r>
      <w:r>
        <w:fldChar w:fldCharType="begin"/>
      </w:r>
      <w:r>
        <w:instrText xml:space="preserve"> PAGEREF _Toc26537 </w:instrText>
      </w:r>
      <w:r>
        <w:fldChar w:fldCharType="separate"/>
      </w:r>
      <w:r>
        <w:t>20</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_Toc268 </w:instrText>
      </w:r>
      <w:r>
        <w:rPr>
          <w:rFonts w:hint="eastAsia"/>
          <w:lang w:val="en-US" w:eastAsia="zh-CN"/>
        </w:rPr>
        <w:fldChar w:fldCharType="separate"/>
      </w:r>
      <w:r>
        <w:rPr>
          <w:rFonts w:hint="eastAsia" w:ascii="微软雅黑" w:hAnsi="微软雅黑" w:eastAsia="微软雅黑" w:cs="微软雅黑"/>
          <w:bCs w:val="0"/>
          <w:szCs w:val="28"/>
          <w:lang w:val="en-US" w:eastAsia="zh-CN"/>
        </w:rPr>
        <w:t>(五) 继续开展“订单式”人才培养</w:t>
      </w:r>
      <w:r>
        <w:tab/>
      </w:r>
      <w:r>
        <w:fldChar w:fldCharType="begin"/>
      </w:r>
      <w:r>
        <w:instrText xml:space="preserve"> PAGEREF _Toc268 </w:instrText>
      </w:r>
      <w:r>
        <w:fldChar w:fldCharType="separate"/>
      </w:r>
      <w:r>
        <w:t>20</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_Toc13660 </w:instrText>
      </w:r>
      <w:r>
        <w:rPr>
          <w:rFonts w:hint="eastAsia"/>
          <w:lang w:val="en-US" w:eastAsia="zh-CN"/>
        </w:rPr>
        <w:fldChar w:fldCharType="separate"/>
      </w:r>
      <w:r>
        <w:rPr>
          <w:rFonts w:hint="eastAsia" w:ascii="微软雅黑" w:hAnsi="微软雅黑" w:eastAsia="微软雅黑" w:cs="微软雅黑"/>
          <w:bCs w:val="0"/>
          <w:szCs w:val="28"/>
          <w:lang w:val="en-US" w:eastAsia="zh-CN"/>
        </w:rPr>
        <w:t>(六) 加强学生的艺术实践工作</w:t>
      </w:r>
      <w:r>
        <w:tab/>
      </w:r>
      <w:r>
        <w:fldChar w:fldCharType="begin"/>
      </w:r>
      <w:r>
        <w:instrText xml:space="preserve"> PAGEREF _Toc13660 </w:instrText>
      </w:r>
      <w:r>
        <w:fldChar w:fldCharType="separate"/>
      </w:r>
      <w:r>
        <w:t>20</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_Toc15092 </w:instrText>
      </w:r>
      <w:r>
        <w:rPr>
          <w:rFonts w:hint="eastAsia"/>
          <w:lang w:val="en-US" w:eastAsia="zh-CN"/>
        </w:rPr>
        <w:fldChar w:fldCharType="separate"/>
      </w:r>
      <w:r>
        <w:rPr>
          <w:rFonts w:hint="eastAsia" w:ascii="微软雅黑" w:hAnsi="微软雅黑" w:eastAsia="微软雅黑" w:cs="微软雅黑"/>
          <w:bCs w:val="0"/>
          <w:szCs w:val="28"/>
          <w:lang w:val="en-US" w:eastAsia="zh-CN"/>
        </w:rPr>
        <w:t>(七) 强化就业文化建设</w:t>
      </w:r>
      <w:r>
        <w:tab/>
      </w:r>
      <w:r>
        <w:fldChar w:fldCharType="begin"/>
      </w:r>
      <w:r>
        <w:instrText xml:space="preserve"> PAGEREF _Toc15092 </w:instrText>
      </w:r>
      <w:r>
        <w:fldChar w:fldCharType="separate"/>
      </w:r>
      <w:r>
        <w:t>21</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_Toc5828 </w:instrText>
      </w:r>
      <w:r>
        <w:rPr>
          <w:rFonts w:hint="eastAsia"/>
          <w:lang w:val="en-US" w:eastAsia="zh-CN"/>
        </w:rPr>
        <w:fldChar w:fldCharType="separate"/>
      </w:r>
      <w:r>
        <w:rPr>
          <w:rFonts w:hint="eastAsia" w:ascii="微软雅黑" w:hAnsi="微软雅黑" w:eastAsia="微软雅黑" w:cs="微软雅黑"/>
          <w:bCs w:val="0"/>
          <w:szCs w:val="28"/>
          <w:lang w:val="en-US" w:eastAsia="zh-CN"/>
        </w:rPr>
        <w:t>(八) 组织举办毕业生就业市场</w:t>
      </w:r>
      <w:r>
        <w:tab/>
      </w:r>
      <w:r>
        <w:fldChar w:fldCharType="begin"/>
      </w:r>
      <w:r>
        <w:instrText xml:space="preserve"> PAGEREF _Toc5828 </w:instrText>
      </w:r>
      <w:r>
        <w:fldChar w:fldCharType="separate"/>
      </w:r>
      <w:r>
        <w:t>21</w:t>
      </w:r>
      <w:r>
        <w:fldChar w:fldCharType="end"/>
      </w:r>
      <w:r>
        <w:rPr>
          <w:rFonts w:hint="eastAsia"/>
          <w:lang w:val="en-US" w:eastAsia="zh-CN"/>
        </w:rPr>
        <w:fldChar w:fldCharType="end"/>
      </w:r>
    </w:p>
    <w:p>
      <w:pPr>
        <w:pStyle w:val="13"/>
        <w:tabs>
          <w:tab w:val="right" w:leader="dot" w:pos="9090"/>
        </w:tabs>
      </w:pPr>
      <w:r>
        <w:rPr>
          <w:rFonts w:hint="eastAsia"/>
          <w:lang w:val="en-US" w:eastAsia="zh-CN"/>
        </w:rPr>
        <w:fldChar w:fldCharType="begin"/>
      </w:r>
      <w:r>
        <w:rPr>
          <w:rFonts w:hint="eastAsia"/>
          <w:lang w:val="en-US" w:eastAsia="zh-CN"/>
        </w:rPr>
        <w:instrText xml:space="preserve"> HYPERLINK \l _Toc247 </w:instrText>
      </w:r>
      <w:r>
        <w:rPr>
          <w:rFonts w:hint="eastAsia"/>
          <w:lang w:val="en-US" w:eastAsia="zh-CN"/>
        </w:rPr>
        <w:fldChar w:fldCharType="separate"/>
      </w:r>
      <w:r>
        <w:rPr>
          <w:rFonts w:hint="eastAsia" w:ascii="微软雅黑" w:hAnsi="微软雅黑" w:eastAsia="微软雅黑" w:cs="微软雅黑"/>
          <w:bCs w:val="0"/>
          <w:szCs w:val="28"/>
          <w:lang w:val="en-US" w:eastAsia="zh-CN"/>
        </w:rPr>
        <w:t>(九) 加强就业创业理论研究</w:t>
      </w:r>
      <w:r>
        <w:tab/>
      </w:r>
      <w:r>
        <w:fldChar w:fldCharType="begin"/>
      </w:r>
      <w:r>
        <w:instrText xml:space="preserve"> PAGEREF _Toc247 </w:instrText>
      </w:r>
      <w:r>
        <w:fldChar w:fldCharType="separate"/>
      </w:r>
      <w:r>
        <w:t>22</w:t>
      </w:r>
      <w:r>
        <w:fldChar w:fldCharType="end"/>
      </w:r>
      <w:r>
        <w:rPr>
          <w:rFonts w:hint="eastAsia"/>
          <w:lang w:val="en-US" w:eastAsia="zh-CN"/>
        </w:rPr>
        <w:fldChar w:fldCharType="end"/>
      </w:r>
    </w:p>
    <w:p>
      <w:pPr>
        <w:rPr>
          <w:rFonts w:hint="eastAsia"/>
          <w:lang w:val="en-US" w:eastAsia="zh-CN"/>
        </w:rPr>
      </w:pPr>
      <w:r>
        <w:rPr>
          <w:rFonts w:hint="eastAsia"/>
          <w:lang w:val="en-US" w:eastAsia="zh-CN"/>
        </w:rPr>
        <w:fldChar w:fldCharType="end"/>
      </w: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100" w:after="0" w:afterLines="100" w:line="360" w:lineRule="auto"/>
        <w:ind w:left="1083" w:leftChars="0" w:right="0" w:rightChars="0" w:hanging="1083" w:firstLineChars="0"/>
        <w:jc w:val="center"/>
        <w:textAlignment w:val="auto"/>
        <w:outlineLvl w:val="0"/>
        <w:rPr>
          <w:rFonts w:hint="eastAsia" w:ascii="微软雅黑" w:hAnsi="微软雅黑" w:eastAsia="微软雅黑" w:cs="微软雅黑"/>
          <w:b w:val="0"/>
          <w:bCs w:val="0"/>
          <w:sz w:val="30"/>
          <w:szCs w:val="30"/>
          <w:lang w:val="en-US" w:eastAsia="zh-CN"/>
        </w:rPr>
      </w:pPr>
      <w:bookmarkStart w:id="1" w:name="_Toc16239"/>
      <w:r>
        <w:rPr>
          <w:rFonts w:hint="eastAsia" w:ascii="微软雅黑" w:hAnsi="微软雅黑" w:eastAsia="微软雅黑" w:cs="微软雅黑"/>
          <w:b w:val="0"/>
          <w:bCs w:val="0"/>
          <w:sz w:val="30"/>
          <w:szCs w:val="30"/>
          <w:lang w:val="en-US" w:eastAsia="zh-CN"/>
        </w:rPr>
        <w:t>学院简介</w:t>
      </w:r>
      <w:bookmarkEnd w:id="1"/>
    </w:p>
    <w:p>
      <w:pPr>
        <w:pStyle w:val="24"/>
        <w:spacing w:line="360" w:lineRule="auto"/>
        <w:rPr>
          <w:rFonts w:hint="eastAsia" w:ascii="微软雅黑" w:hAnsi="微软雅黑" w:eastAsia="微软雅黑"/>
          <w:sz w:val="21"/>
          <w:szCs w:val="22"/>
        </w:rPr>
      </w:pPr>
      <w:r>
        <w:rPr>
          <w:rFonts w:hint="eastAsia" w:ascii="微软雅黑" w:hAnsi="微软雅黑" w:eastAsia="微软雅黑"/>
          <w:sz w:val="21"/>
          <w:szCs w:val="22"/>
        </w:rPr>
        <w:t>安徽艺术职业学院是安徽省唯一一所公办综合性全日制高等艺术院校，其前身是安徽艺术学校，创办于1956年。学校1958年升格为安徽艺术专科学校，1959年皖南大学艺术系并入后成立安徽艺术学院，1963年为贯彻八字方针，安徽艺术学院调整恢复为安徽艺术学校。1996年安徽艺术学校与安徽大学联合开办安徽大学艺术学院，开始招收本、专科生。2003年6月经安徽省人民政府批准将安徽省电影学校并入，成立安徽艺术职业学院。建校60年来，学院肩负着为传承和弘扬优秀文化艺术，培养艺术类专门人才的重任，根植于安徽丰厚的文化土壤，孕育了自身的办学传统和办学特色，成为安徽文化艺术人才培养的基地。 </w:t>
      </w:r>
    </w:p>
    <w:p>
      <w:pPr>
        <w:pStyle w:val="24"/>
        <w:spacing w:line="360" w:lineRule="auto"/>
        <w:rPr>
          <w:rFonts w:hint="eastAsia" w:ascii="微软雅黑" w:hAnsi="微软雅黑" w:eastAsia="微软雅黑"/>
          <w:sz w:val="21"/>
          <w:szCs w:val="22"/>
        </w:rPr>
      </w:pPr>
      <w:r>
        <w:rPr>
          <w:rFonts w:hint="eastAsia" w:ascii="微软雅黑" w:hAnsi="微软雅黑" w:eastAsia="微软雅黑"/>
          <w:sz w:val="21"/>
          <w:szCs w:val="22"/>
        </w:rPr>
        <w:t>学院下辖宣城路和丹霞路两个校区，占地面积170.4亩，建筑面积97130平方米。在校生3000多人，包含本科、专科、高职、中专四个办学层次。现设置美术、戏剧、音乐、舞蹈、综艺、基础教育部六个系（部）和一个国际与继续教育学院，开设音乐表演、戏曲表演、舞蹈表演、表演艺术、美术和艺术设计等19个专业（其中省级特色专业2个），构建了音乐、戏剧、舞蹈、美术、影视艺术、艺术设计6大专业群。戏曲表演专业和舞蹈表演专业2个“中央财政支持高等职业学校提升专业服务产业发展能力项目”通过专家组验收。</w:t>
      </w:r>
    </w:p>
    <w:p>
      <w:pPr>
        <w:pStyle w:val="24"/>
        <w:spacing w:line="360" w:lineRule="auto"/>
        <w:rPr>
          <w:rFonts w:hint="eastAsia" w:ascii="微软雅黑" w:hAnsi="微软雅黑" w:eastAsia="微软雅黑"/>
          <w:sz w:val="21"/>
          <w:szCs w:val="22"/>
        </w:rPr>
      </w:pPr>
      <w:r>
        <w:rPr>
          <w:rFonts w:hint="eastAsia" w:ascii="微软雅黑" w:hAnsi="微软雅黑" w:eastAsia="微软雅黑"/>
          <w:sz w:val="21"/>
          <w:szCs w:val="22"/>
        </w:rPr>
        <w:t>学院英才云集，名师荟萃。在编教职工300多人，其中专任教师260多人，具有高级职称60多名。先后聘请周小燕、姜若瑜、梁伯龙、朴东升、余秋雨、彭家鹏、袁运生、宋飞、徐昌俊、徐淑英、王中山、崔新琴、马梅、焦小健、李文、解晓东、吴亚玲、黄新德等40余名专家学者为学院客座教授。</w:t>
      </w:r>
    </w:p>
    <w:p>
      <w:pPr>
        <w:pStyle w:val="24"/>
        <w:spacing w:line="360" w:lineRule="auto"/>
        <w:rPr>
          <w:rFonts w:hint="eastAsia" w:ascii="微软雅黑" w:hAnsi="微软雅黑" w:eastAsia="微软雅黑"/>
          <w:sz w:val="21"/>
          <w:szCs w:val="22"/>
        </w:rPr>
      </w:pPr>
      <w:r>
        <w:rPr>
          <w:rFonts w:hint="eastAsia" w:ascii="微软雅黑" w:hAnsi="微软雅黑" w:eastAsia="微软雅黑"/>
          <w:sz w:val="21"/>
          <w:szCs w:val="22"/>
        </w:rPr>
        <w:t>春风化雨，桃李芬芳。在60年的办学过程中，学院为社会培养了众多优秀的艺术人才，许多人已成为国家和省内外文艺单位的艺术骨干和颇有成就的艺术家。先后涌现出我国第一位琵琶女博士李景侠，第一位扬琴女硕士李玲玲，第一位唢呐硕士隋景山，著名作曲家、天津音乐学院院长徐昌俊，著名民族管乐演奏家、教育家吴安明，著名歌唱演员马梅、迟黎明、张燕、王莉，著名歌星解晓东；黄梅戏“五朵金花”马兰、吴琼、杨俊、袁玫、吴亚玲，梅花奖得主黄新德、李龙斌、蒋建国、李文等；中国舞蹈家协会副主席、解放军艺术学院舞蹈系主任刘敏，中国舞蹈家协会副秘书长、青年舞蹈家夏小虎，北京舞蹈学院艺术实践中心主任、青年舞蹈家胡淮北，中央芭蕾舞团首席编导费波；画家朱松发、徐德隆、葛新民等一大批知名人士。</w:t>
      </w:r>
    </w:p>
    <w:p>
      <w:pPr>
        <w:pStyle w:val="24"/>
        <w:spacing w:line="360" w:lineRule="auto"/>
        <w:rPr>
          <w:rFonts w:hint="eastAsia" w:ascii="微软雅黑" w:hAnsi="微软雅黑" w:eastAsia="微软雅黑"/>
          <w:sz w:val="21"/>
          <w:szCs w:val="22"/>
        </w:rPr>
      </w:pPr>
      <w:r>
        <w:rPr>
          <w:rFonts w:hint="eastAsia" w:ascii="微软雅黑" w:hAnsi="微软雅黑" w:eastAsia="微软雅黑"/>
          <w:sz w:val="21"/>
          <w:szCs w:val="22"/>
        </w:rPr>
        <w:t>近年来，学院坚持以人为本，以质立校，求实创新，严抓管理，励精图治，锐意进取，走出了一条面向社会需要，适应市场经济发展，具有鲜明办学特色和艺术专业优势的办学新路。学院先后与中国音乐学院、北京舞蹈学院、安徽大学等院校联合开展艺术成人本科教育。2008年学院成立国际艺术学院，先后与澳大利亚伊迪斯·科文大学、中央昆士兰大学联合开办艺术类“3+1”专本连读、“3+1+1”本硕连读校际交流项目。学院注重学生实践能力和创新能力的培养，连续冲击中宣部“五个一”工程奖、文化部文华艺术院校奖 “桃李杯”舞蹈大赛、全国职业院校技能大赛、中国校园戏剧节、“荷花奖” 全国舞蹈比赛、“戏剧小梅花”、“CCTV杯”舞蹈比赛、全国美展等一系列国内重大艺术赛事，并不断摘金夺银挂铜。先后组织学生参加安徽省11届运动会开闭幕式文艺演出、全国第四届体育运动大会开幕式文艺演出、中博会文艺演出、铜陵市建市50周年演出、奥运会开幕式的暖场演出、建国60周年花车巡游、第一届和第二届中国农民歌会、花鼓灯会、上海世博会安徽活动周演出等，承办安徽省委宣传部、省教育厅、安徽省文化厅主办的“校园大舞台—徽风皖韵进高校”系列大型文艺演出。学院多次代表国家和安徽省组团出访法国、德国、韩国、乌克兰、波兰等国家和中国台湾、香港等地区，加强了国际间及与海峡两岸的文化交流。</w:t>
      </w:r>
    </w:p>
    <w:p>
      <w:pPr>
        <w:pStyle w:val="24"/>
        <w:spacing w:line="360" w:lineRule="auto"/>
        <w:rPr>
          <w:rFonts w:hint="eastAsia" w:ascii="微软雅黑" w:hAnsi="微软雅黑" w:eastAsia="微软雅黑" w:cs="微软雅黑"/>
          <w:b w:val="0"/>
          <w:bCs w:val="0"/>
          <w:sz w:val="30"/>
          <w:szCs w:val="30"/>
          <w:lang w:val="en-US" w:eastAsia="zh-CN"/>
        </w:rPr>
      </w:pPr>
      <w:r>
        <w:rPr>
          <w:rFonts w:hint="eastAsia" w:ascii="微软雅黑" w:hAnsi="微软雅黑" w:eastAsia="微软雅黑"/>
          <w:sz w:val="21"/>
          <w:szCs w:val="22"/>
        </w:rPr>
        <w:t>60年来，学院汇集了安徽文艺界的精英，积淀了厚重的人文底蕴和艺术氛围，培育了 “勤奋、感悟、励志、创新”的学院精神。面对新的发展机遇和挑战，学院将以科学发展观为指导，以建设“国内一流艺术职业院校”为目标，提升内涵与拓展外延并举，不断提高学院的综合实力和核心竞争力，在稳定中发展，在创新中前进。 </w:t>
      </w: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100" w:after="0" w:afterLines="100" w:line="360" w:lineRule="auto"/>
        <w:ind w:left="1083" w:leftChars="0" w:right="0" w:rightChars="0" w:hanging="1083" w:firstLineChars="0"/>
        <w:jc w:val="center"/>
        <w:textAlignment w:val="auto"/>
        <w:outlineLvl w:val="0"/>
        <w:rPr>
          <w:rFonts w:hint="eastAsia" w:ascii="微软雅黑" w:hAnsi="微软雅黑" w:eastAsia="微软雅黑" w:cs="微软雅黑"/>
          <w:b w:val="0"/>
          <w:bCs w:val="0"/>
          <w:sz w:val="30"/>
          <w:szCs w:val="30"/>
          <w:lang w:val="en-US" w:eastAsia="zh-CN"/>
        </w:rPr>
      </w:pPr>
      <w:bookmarkStart w:id="2" w:name="_Toc19732"/>
      <w:r>
        <w:rPr>
          <w:rFonts w:hint="eastAsia" w:ascii="微软雅黑" w:hAnsi="微软雅黑" w:eastAsia="微软雅黑" w:cs="微软雅黑"/>
          <w:b w:val="0"/>
          <w:bCs w:val="0"/>
          <w:sz w:val="30"/>
          <w:szCs w:val="30"/>
          <w:lang w:val="en-US" w:eastAsia="zh-CN"/>
        </w:rPr>
        <w:t>毕业生的规模和结构</w:t>
      </w:r>
      <w:bookmarkEnd w:id="2"/>
    </w:p>
    <w:p>
      <w:pPr>
        <w:pStyle w:val="3"/>
        <w:keepNext/>
        <w:keepLines/>
        <w:pageBreakBefore w:val="0"/>
        <w:widowControl w:val="0"/>
        <w:numPr>
          <w:ilvl w:val="0"/>
          <w:numId w:val="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3" w:name="_Toc25529"/>
      <w:r>
        <w:rPr>
          <w:rFonts w:hint="eastAsia" w:ascii="微软雅黑" w:hAnsi="微软雅黑" w:eastAsia="微软雅黑" w:cs="微软雅黑"/>
          <w:b w:val="0"/>
          <w:bCs w:val="0"/>
          <w:sz w:val="28"/>
          <w:szCs w:val="28"/>
        </w:rPr>
        <w:t>总体规模</w:t>
      </w:r>
      <w:bookmarkEnd w:id="3"/>
    </w:p>
    <w:p>
      <w:pPr>
        <w:pStyle w:val="24"/>
        <w:spacing w:line="360" w:lineRule="auto"/>
        <w:rPr>
          <w:rFonts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年学院共有毕业生7</w:t>
      </w:r>
      <w:r>
        <w:rPr>
          <w:rFonts w:ascii="微软雅黑" w:hAnsi="微软雅黑" w:eastAsia="微软雅黑"/>
        </w:rPr>
        <w:t>22</w:t>
      </w:r>
      <w:r>
        <w:rPr>
          <w:rFonts w:hint="eastAsia" w:ascii="微软雅黑" w:hAnsi="微软雅黑" w:eastAsia="微软雅黑"/>
        </w:rPr>
        <w:t>人，分布如图1</w:t>
      </w:r>
      <w:r>
        <w:rPr>
          <w:rFonts w:ascii="微软雅黑" w:hAnsi="微软雅黑" w:eastAsia="微软雅黑"/>
        </w:rPr>
        <w:t>-1</w:t>
      </w:r>
      <w:r>
        <w:rPr>
          <w:rFonts w:hint="eastAsia" w:ascii="微软雅黑" w:hAnsi="微软雅黑" w:eastAsia="微软雅黑"/>
        </w:rPr>
        <w:t>，其中男生2</w:t>
      </w:r>
      <w:r>
        <w:rPr>
          <w:rFonts w:ascii="微软雅黑" w:hAnsi="微软雅黑" w:eastAsia="微软雅黑"/>
        </w:rPr>
        <w:t>64</w:t>
      </w:r>
      <w:r>
        <w:rPr>
          <w:rFonts w:hint="eastAsia" w:ascii="微软雅黑" w:hAnsi="微软雅黑" w:eastAsia="微软雅黑"/>
        </w:rPr>
        <w:t>人，女生4</w:t>
      </w:r>
      <w:r>
        <w:rPr>
          <w:rFonts w:ascii="微软雅黑" w:hAnsi="微软雅黑" w:eastAsia="微软雅黑"/>
        </w:rPr>
        <w:t>58</w:t>
      </w:r>
      <w:r>
        <w:rPr>
          <w:rFonts w:hint="eastAsia" w:ascii="微软雅黑" w:hAnsi="微软雅黑" w:eastAsia="微软雅黑"/>
        </w:rPr>
        <w:t>人，女生人数高于男生，男女生比例0</w:t>
      </w:r>
      <w:r>
        <w:rPr>
          <w:rFonts w:ascii="微软雅黑" w:hAnsi="微软雅黑" w:eastAsia="微软雅黑"/>
        </w:rPr>
        <w:t>.58</w:t>
      </w:r>
      <w:r>
        <w:rPr>
          <w:rFonts w:hint="eastAsia" w:ascii="微软雅黑" w:hAnsi="微软雅黑" w:eastAsia="微软雅黑"/>
        </w:rPr>
        <w:t>:</w:t>
      </w:r>
      <w:r>
        <w:rPr>
          <w:rFonts w:ascii="微软雅黑" w:hAnsi="微软雅黑" w:eastAsia="微软雅黑"/>
        </w:rPr>
        <w:t>1.</w:t>
      </w:r>
    </w:p>
    <w:p>
      <w:pPr>
        <w:pStyle w:val="24"/>
        <w:spacing w:line="360" w:lineRule="auto"/>
        <w:jc w:val="center"/>
        <w:rPr>
          <w:rFonts w:ascii="微软雅黑" w:hAnsi="微软雅黑" w:eastAsia="微软雅黑"/>
        </w:rPr>
      </w:pPr>
      <w:r>
        <w:rPr>
          <w:rFonts w:ascii="微软雅黑" w:hAnsi="微软雅黑" w:eastAsia="微软雅黑"/>
        </w:rPr>
        <w:drawing>
          <wp:inline distT="0" distB="0" distL="0" distR="0">
            <wp:extent cx="3204845" cy="22098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spacing w:line="360" w:lineRule="auto"/>
        <w:ind w:firstLine="400"/>
        <w:jc w:val="center"/>
        <w:rPr>
          <w:rFonts w:hint="eastAsia" w:ascii="微软雅黑" w:hAnsi="微软雅黑" w:eastAsia="微软雅黑"/>
        </w:rPr>
      </w:pPr>
      <w:r>
        <w:rPr>
          <w:rFonts w:hint="eastAsia" w:ascii="微软雅黑" w:hAnsi="微软雅黑" w:eastAsia="微软雅黑"/>
          <w:color w:val="000000"/>
          <w:sz w:val="20"/>
          <w:szCs w:val="20"/>
        </w:rPr>
        <w:t>图1-1   2017年毕业生规模</w:t>
      </w:r>
    </w:p>
    <w:p>
      <w:pPr>
        <w:pStyle w:val="3"/>
        <w:keepNext/>
        <w:keepLines/>
        <w:pageBreakBefore w:val="0"/>
        <w:widowControl w:val="0"/>
        <w:numPr>
          <w:ilvl w:val="0"/>
          <w:numId w:val="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4" w:name="_Toc21247"/>
      <w:r>
        <w:rPr>
          <w:rFonts w:hint="eastAsia" w:ascii="微软雅黑" w:hAnsi="微软雅黑" w:eastAsia="微软雅黑" w:cs="微软雅黑"/>
          <w:b w:val="0"/>
          <w:bCs w:val="0"/>
          <w:sz w:val="28"/>
          <w:szCs w:val="28"/>
        </w:rPr>
        <w:t>结构分布</w:t>
      </w:r>
      <w:bookmarkEnd w:id="4"/>
    </w:p>
    <w:p>
      <w:pPr>
        <w:pStyle w:val="24"/>
        <w:numPr>
          <w:ilvl w:val="0"/>
          <w:numId w:val="3"/>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学科结构分布</w:t>
      </w:r>
    </w:p>
    <w:p>
      <w:pPr>
        <w:pStyle w:val="24"/>
        <w:spacing w:line="360" w:lineRule="auto"/>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年学院毕业生分布在3个学科，如图1</w:t>
      </w:r>
      <w:r>
        <w:rPr>
          <w:rFonts w:ascii="微软雅黑" w:hAnsi="微软雅黑" w:eastAsia="微软雅黑"/>
        </w:rPr>
        <w:t>-2</w:t>
      </w:r>
      <w:r>
        <w:rPr>
          <w:rFonts w:hint="eastAsia" w:ascii="微软雅黑" w:hAnsi="微软雅黑" w:eastAsia="微软雅黑"/>
        </w:rPr>
        <w:t>；人数最多的是艺术设计传媒大类6</w:t>
      </w:r>
      <w:r>
        <w:rPr>
          <w:rFonts w:ascii="微软雅黑" w:hAnsi="微软雅黑" w:eastAsia="微软雅黑"/>
        </w:rPr>
        <w:t>70</w:t>
      </w:r>
      <w:r>
        <w:rPr>
          <w:rFonts w:hint="eastAsia" w:ascii="微软雅黑" w:hAnsi="微软雅黑" w:eastAsia="微软雅黑"/>
        </w:rPr>
        <w:t>人，交通运输大类5</w:t>
      </w:r>
      <w:r>
        <w:rPr>
          <w:rFonts w:ascii="微软雅黑" w:hAnsi="微软雅黑" w:eastAsia="微软雅黑"/>
        </w:rPr>
        <w:t>0</w:t>
      </w:r>
      <w:r>
        <w:rPr>
          <w:rFonts w:hint="eastAsia" w:ascii="微软雅黑" w:hAnsi="微软雅黑" w:eastAsia="微软雅黑"/>
        </w:rPr>
        <w:t>人，文化教育类2人。</w:t>
      </w:r>
    </w:p>
    <w:p>
      <w:pPr>
        <w:pStyle w:val="24"/>
        <w:spacing w:line="360" w:lineRule="auto"/>
        <w:ind w:left="0" w:leftChars="0" w:firstLine="0" w:firstLineChars="0"/>
        <w:rPr>
          <w:rFonts w:hint="eastAsia" w:ascii="微软雅黑" w:hAnsi="微软雅黑" w:eastAsia="微软雅黑"/>
        </w:rPr>
      </w:pPr>
      <w:r>
        <w:drawing>
          <wp:inline distT="0" distB="0" distL="114300" distR="114300">
            <wp:extent cx="5758180" cy="2256790"/>
            <wp:effectExtent l="4445" t="4445" r="9525" b="5715"/>
            <wp:docPr id="2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spacing w:line="360" w:lineRule="auto"/>
        <w:jc w:val="center"/>
        <w:rPr>
          <w:rFonts w:hint="eastAsia" w:ascii="微软雅黑" w:hAnsi="微软雅黑" w:eastAsia="微软雅黑"/>
        </w:rPr>
      </w:pPr>
    </w:p>
    <w:p>
      <w:pPr>
        <w:pStyle w:val="24"/>
        <w:spacing w:line="360" w:lineRule="auto"/>
        <w:ind w:left="0" w:leftChars="0" w:firstLine="0" w:firstLineChars="0"/>
        <w:rPr>
          <w:rFonts w:hint="eastAsia" w:ascii="微软雅黑" w:hAnsi="微软雅黑" w:eastAsia="微软雅黑"/>
        </w:rPr>
      </w:pPr>
    </w:p>
    <w:p>
      <w:pPr>
        <w:pStyle w:val="24"/>
        <w:spacing w:line="360" w:lineRule="auto"/>
        <w:ind w:left="0" w:leftChars="0" w:firstLine="0" w:firstLineChars="0"/>
        <w:rPr>
          <w:rFonts w:hint="eastAsia" w:ascii="微软雅黑" w:hAnsi="微软雅黑" w:eastAsia="微软雅黑"/>
        </w:rPr>
      </w:pP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2</w:t>
      </w:r>
      <w:r>
        <w:rPr>
          <w:rFonts w:hint="eastAsia" w:ascii="微软雅黑" w:hAnsi="微软雅黑" w:eastAsia="微软雅黑"/>
          <w:color w:val="000000"/>
          <w:sz w:val="20"/>
          <w:szCs w:val="20"/>
        </w:rPr>
        <w:t xml:space="preserve">   2017年毕业生学科分布</w:t>
      </w:r>
    </w:p>
    <w:p>
      <w:pPr>
        <w:pStyle w:val="24"/>
        <w:spacing w:line="360" w:lineRule="auto"/>
        <w:ind w:left="1260" w:firstLine="0" w:firstLineChars="0"/>
        <w:rPr>
          <w:rFonts w:hint="eastAsia" w:ascii="微软雅黑" w:hAnsi="微软雅黑" w:eastAsia="微软雅黑"/>
          <w:sz w:val="24"/>
          <w:szCs w:val="24"/>
        </w:rPr>
      </w:pPr>
    </w:p>
    <w:p>
      <w:pPr>
        <w:pStyle w:val="24"/>
        <w:spacing w:line="360" w:lineRule="auto"/>
        <w:rPr>
          <w:rFonts w:ascii="微软雅黑" w:hAnsi="微软雅黑" w:eastAsia="微软雅黑"/>
        </w:rPr>
      </w:pPr>
    </w:p>
    <w:p>
      <w:pPr>
        <w:pStyle w:val="24"/>
        <w:numPr>
          <w:ilvl w:val="0"/>
          <w:numId w:val="3"/>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民族分布</w:t>
      </w:r>
    </w:p>
    <w:p>
      <w:pPr>
        <w:pStyle w:val="24"/>
        <w:spacing w:line="360" w:lineRule="auto"/>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年学院毕业生民族分布中，汉族学生</w:t>
      </w:r>
      <w:r>
        <w:rPr>
          <w:rFonts w:ascii="微软雅黑" w:hAnsi="微软雅黑" w:eastAsia="微软雅黑"/>
        </w:rPr>
        <w:t>714</w:t>
      </w:r>
      <w:r>
        <w:rPr>
          <w:rFonts w:hint="eastAsia" w:ascii="微软雅黑" w:hAnsi="微软雅黑" w:eastAsia="微软雅黑"/>
        </w:rPr>
        <w:t>人（9</w:t>
      </w:r>
      <w:r>
        <w:rPr>
          <w:rFonts w:ascii="微软雅黑" w:hAnsi="微软雅黑" w:eastAsia="微软雅黑"/>
        </w:rPr>
        <w:t>8.89%</w:t>
      </w:r>
      <w:r>
        <w:rPr>
          <w:rFonts w:hint="eastAsia" w:ascii="微软雅黑" w:hAnsi="微软雅黑" w:eastAsia="微软雅黑"/>
        </w:rPr>
        <w:t>），回族8人（1</w:t>
      </w:r>
      <w:r>
        <w:rPr>
          <w:rFonts w:ascii="微软雅黑" w:hAnsi="微软雅黑" w:eastAsia="微软雅黑"/>
        </w:rPr>
        <w:t>.11%</w:t>
      </w:r>
      <w:r>
        <w:rPr>
          <w:rFonts w:hint="eastAsia" w:ascii="微软雅黑" w:hAnsi="微软雅黑" w:eastAsia="微软雅黑"/>
        </w:rPr>
        <w:t>），没有其他少数民族毕业生。</w:t>
      </w:r>
    </w:p>
    <w:p>
      <w:pPr>
        <w:pStyle w:val="24"/>
        <w:spacing w:line="360" w:lineRule="auto"/>
        <w:ind w:left="0" w:leftChars="0" w:firstLine="0" w:firstLineChars="0"/>
      </w:pPr>
      <w:r>
        <w:drawing>
          <wp:inline distT="0" distB="0" distL="114300" distR="114300">
            <wp:extent cx="5770245" cy="2559050"/>
            <wp:effectExtent l="4445" t="4445" r="16510" b="82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3</w:t>
      </w:r>
      <w:r>
        <w:rPr>
          <w:rFonts w:hint="eastAsia" w:ascii="微软雅黑" w:hAnsi="微软雅黑" w:eastAsia="微软雅黑"/>
          <w:color w:val="000000"/>
          <w:sz w:val="20"/>
          <w:szCs w:val="20"/>
        </w:rPr>
        <w:t xml:space="preserve">   2017年毕业生民族分布</w:t>
      </w:r>
    </w:p>
    <w:p>
      <w:pPr>
        <w:pStyle w:val="24"/>
        <w:spacing w:line="360" w:lineRule="auto"/>
        <w:jc w:val="center"/>
        <w:rPr>
          <w:rFonts w:hint="eastAsia" w:ascii="微软雅黑" w:hAnsi="微软雅黑" w:eastAsia="微软雅黑"/>
        </w:rPr>
      </w:pPr>
    </w:p>
    <w:p>
      <w:pPr>
        <w:pStyle w:val="24"/>
        <w:numPr>
          <w:ilvl w:val="0"/>
          <w:numId w:val="3"/>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生源地区域分布</w:t>
      </w:r>
    </w:p>
    <w:p>
      <w:pPr>
        <w:pStyle w:val="24"/>
        <w:spacing w:line="360" w:lineRule="auto"/>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年学院毕业生生源地分布在5个省，如图1</w:t>
      </w:r>
      <w:r>
        <w:rPr>
          <w:rFonts w:ascii="微软雅黑" w:hAnsi="微软雅黑" w:eastAsia="微软雅黑"/>
        </w:rPr>
        <w:t>-5</w:t>
      </w:r>
      <w:r>
        <w:rPr>
          <w:rFonts w:hint="eastAsia" w:ascii="微软雅黑" w:hAnsi="微软雅黑" w:eastAsia="微软雅黑"/>
        </w:rPr>
        <w:t>；安徽省人数最多为6</w:t>
      </w:r>
      <w:r>
        <w:rPr>
          <w:rFonts w:ascii="微软雅黑" w:hAnsi="微软雅黑" w:eastAsia="微软雅黑"/>
        </w:rPr>
        <w:t>98</w:t>
      </w:r>
      <w:r>
        <w:rPr>
          <w:rFonts w:hint="eastAsia" w:ascii="微软雅黑" w:hAnsi="微软雅黑" w:eastAsia="微软雅黑"/>
        </w:rPr>
        <w:t>人，其次是江西省2</w:t>
      </w:r>
      <w:r>
        <w:rPr>
          <w:rFonts w:ascii="微软雅黑" w:hAnsi="微软雅黑" w:eastAsia="微软雅黑"/>
        </w:rPr>
        <w:t>9</w:t>
      </w:r>
      <w:r>
        <w:rPr>
          <w:rFonts w:hint="eastAsia" w:ascii="微软雅黑" w:hAnsi="微软雅黑" w:eastAsia="微软雅黑"/>
        </w:rPr>
        <w:t>人，河南省2热，湖北省和广东省各1人。</w:t>
      </w:r>
    </w:p>
    <w:p>
      <w:pPr>
        <w:pStyle w:val="24"/>
        <w:spacing w:line="360" w:lineRule="auto"/>
        <w:jc w:val="center"/>
        <w:rPr>
          <w:rFonts w:ascii="微软雅黑" w:hAnsi="微软雅黑" w:eastAsia="微软雅黑"/>
        </w:rPr>
      </w:pPr>
    </w:p>
    <w:p>
      <w:pPr>
        <w:pStyle w:val="24"/>
        <w:spacing w:line="360" w:lineRule="auto"/>
        <w:jc w:val="center"/>
        <w:rPr>
          <w:rFonts w:ascii="微软雅黑" w:hAnsi="微软雅黑" w:eastAsia="微软雅黑"/>
        </w:rPr>
      </w:pPr>
    </w:p>
    <w:p>
      <w:pPr>
        <w:pStyle w:val="24"/>
        <w:spacing w:line="360" w:lineRule="auto"/>
        <w:jc w:val="center"/>
        <w:rPr>
          <w:rFonts w:ascii="微软雅黑" w:hAnsi="微软雅黑" w:eastAsia="微软雅黑"/>
        </w:rPr>
      </w:pPr>
    </w:p>
    <w:p>
      <w:pPr>
        <w:pStyle w:val="24"/>
        <w:spacing w:line="360" w:lineRule="auto"/>
        <w:ind w:left="0" w:leftChars="0" w:firstLine="0" w:firstLineChars="0"/>
        <w:jc w:val="both"/>
        <w:rPr>
          <w:rFonts w:ascii="微软雅黑" w:hAnsi="微软雅黑" w:eastAsia="微软雅黑"/>
        </w:rPr>
      </w:pP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730240" cy="2771775"/>
            <wp:effectExtent l="4445" t="4445" r="18415" b="508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4</w:t>
      </w:r>
      <w:r>
        <w:rPr>
          <w:rFonts w:hint="eastAsia" w:ascii="微软雅黑" w:hAnsi="微软雅黑" w:eastAsia="微软雅黑"/>
          <w:color w:val="000000"/>
          <w:sz w:val="20"/>
          <w:szCs w:val="20"/>
        </w:rPr>
        <w:t xml:space="preserve">   2017年毕业生生源地区域分布</w:t>
      </w:r>
    </w:p>
    <w:p>
      <w:pPr>
        <w:pStyle w:val="24"/>
        <w:spacing w:line="360" w:lineRule="auto"/>
        <w:jc w:val="center"/>
        <w:rPr>
          <w:rFonts w:hint="eastAsia" w:ascii="微软雅黑" w:hAnsi="微软雅黑" w:eastAsia="微软雅黑"/>
        </w:rPr>
      </w:pPr>
    </w:p>
    <w:p>
      <w:pPr>
        <w:pStyle w:val="24"/>
        <w:numPr>
          <w:ilvl w:val="0"/>
          <w:numId w:val="3"/>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安徽省生源分布</w:t>
      </w:r>
    </w:p>
    <w:p>
      <w:pPr>
        <w:pStyle w:val="24"/>
        <w:spacing w:line="360" w:lineRule="auto"/>
        <w:rPr>
          <w:rFonts w:hint="eastAsia"/>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年学院毕业生安徽省生源分布如图1</w:t>
      </w:r>
      <w:r>
        <w:rPr>
          <w:rFonts w:ascii="微软雅黑" w:hAnsi="微软雅黑" w:eastAsia="微软雅黑"/>
        </w:rPr>
        <w:t>-5</w:t>
      </w:r>
      <w:r>
        <w:rPr>
          <w:rFonts w:hint="eastAsia" w:ascii="微软雅黑" w:hAnsi="微软雅黑" w:eastAsia="微软雅黑"/>
        </w:rPr>
        <w:t>，省内生源来自1</w:t>
      </w:r>
      <w:r>
        <w:rPr>
          <w:rFonts w:ascii="微软雅黑" w:hAnsi="微软雅黑" w:eastAsia="微软雅黑"/>
        </w:rPr>
        <w:t>6</w:t>
      </w:r>
      <w:r>
        <w:rPr>
          <w:rFonts w:hint="eastAsia" w:ascii="微软雅黑" w:hAnsi="微软雅黑" w:eastAsia="微软雅黑"/>
        </w:rPr>
        <w:t>个城市，省会合肥市毕业生生源最多为1</w:t>
      </w:r>
      <w:r>
        <w:rPr>
          <w:rFonts w:ascii="微软雅黑" w:hAnsi="微软雅黑" w:eastAsia="微软雅黑"/>
        </w:rPr>
        <w:t>68</w:t>
      </w:r>
      <w:r>
        <w:rPr>
          <w:rFonts w:hint="eastAsia" w:ascii="微软雅黑" w:hAnsi="微软雅黑" w:eastAsia="微软雅黑"/>
        </w:rPr>
        <w:t>人，占比2</w:t>
      </w:r>
      <w:r>
        <w:rPr>
          <w:rFonts w:ascii="微软雅黑" w:hAnsi="微软雅黑" w:eastAsia="微软雅黑"/>
        </w:rPr>
        <w:t>4.38%</w:t>
      </w:r>
      <w:r>
        <w:rPr>
          <w:rFonts w:hint="eastAsia" w:ascii="微软雅黑" w:hAnsi="微软雅黑" w:eastAsia="微软雅黑"/>
        </w:rPr>
        <w:t>，其次是阜阳市7</w:t>
      </w:r>
      <w:r>
        <w:rPr>
          <w:rFonts w:ascii="微软雅黑" w:hAnsi="微软雅黑" w:eastAsia="微软雅黑"/>
        </w:rPr>
        <w:t>0</w:t>
      </w:r>
      <w:r>
        <w:rPr>
          <w:rFonts w:hint="eastAsia" w:ascii="微软雅黑" w:hAnsi="微软雅黑" w:eastAsia="微软雅黑"/>
        </w:rPr>
        <w:t>人，六安市6</w:t>
      </w:r>
      <w:r>
        <w:rPr>
          <w:rFonts w:ascii="微软雅黑" w:hAnsi="微软雅黑" w:eastAsia="微软雅黑"/>
        </w:rPr>
        <w:t>7</w:t>
      </w:r>
      <w:r>
        <w:rPr>
          <w:rFonts w:hint="eastAsia" w:ascii="微软雅黑" w:hAnsi="微软雅黑" w:eastAsia="微软雅黑"/>
        </w:rPr>
        <w:t>人。</w:t>
      </w:r>
    </w:p>
    <w:p>
      <w:pPr>
        <w:pStyle w:val="24"/>
        <w:spacing w:line="360" w:lineRule="auto"/>
        <w:ind w:left="0" w:leftChars="0" w:firstLine="0" w:firstLineChars="0"/>
        <w:rPr>
          <w:rFonts w:hint="eastAsia" w:ascii="微软雅黑" w:hAnsi="微软雅黑" w:eastAsia="微软雅黑"/>
        </w:rPr>
      </w:pPr>
      <w:r>
        <w:drawing>
          <wp:inline distT="0" distB="0" distL="114300" distR="114300">
            <wp:extent cx="5728970" cy="2914650"/>
            <wp:effectExtent l="4445" t="4445" r="19685" b="14605"/>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4"/>
        <w:spacing w:line="360" w:lineRule="auto"/>
        <w:jc w:val="center"/>
        <w:rPr>
          <w:rFonts w:ascii="微软雅黑" w:hAnsi="微软雅黑" w:eastAsia="微软雅黑"/>
        </w:rPr>
      </w:pP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5</w:t>
      </w:r>
      <w:r>
        <w:rPr>
          <w:rFonts w:hint="eastAsia" w:ascii="微软雅黑" w:hAnsi="微软雅黑" w:eastAsia="微软雅黑"/>
          <w:color w:val="000000"/>
          <w:sz w:val="20"/>
          <w:szCs w:val="20"/>
        </w:rPr>
        <w:t xml:space="preserve">   2017年毕业生安徽省生源分布</w:t>
      </w: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100" w:after="0" w:afterLines="100" w:line="360" w:lineRule="auto"/>
        <w:ind w:left="1083" w:leftChars="0" w:right="0" w:rightChars="0" w:hanging="1083" w:firstLineChars="0"/>
        <w:jc w:val="center"/>
        <w:textAlignment w:val="auto"/>
        <w:outlineLvl w:val="0"/>
        <w:rPr>
          <w:rFonts w:hint="eastAsia" w:ascii="微软雅黑" w:hAnsi="微软雅黑" w:eastAsia="微软雅黑" w:cs="微软雅黑"/>
          <w:b w:val="0"/>
          <w:bCs w:val="0"/>
          <w:sz w:val="30"/>
          <w:szCs w:val="30"/>
          <w:lang w:val="en-US" w:eastAsia="zh-CN"/>
        </w:rPr>
      </w:pPr>
      <w:bookmarkStart w:id="5" w:name="_Toc21950"/>
      <w:r>
        <w:rPr>
          <w:rFonts w:hint="eastAsia" w:ascii="微软雅黑" w:hAnsi="微软雅黑" w:eastAsia="微软雅黑" w:cs="微软雅黑"/>
          <w:b w:val="0"/>
          <w:bCs w:val="0"/>
          <w:sz w:val="30"/>
          <w:szCs w:val="30"/>
          <w:lang w:val="en-US" w:eastAsia="zh-CN"/>
        </w:rPr>
        <w:t>就业率</w:t>
      </w:r>
      <w:bookmarkEnd w:id="5"/>
    </w:p>
    <w:p>
      <w:pPr>
        <w:pStyle w:val="3"/>
        <w:keepNext/>
        <w:keepLines/>
        <w:pageBreakBefore w:val="0"/>
        <w:widowControl w:val="0"/>
        <w:numPr>
          <w:ilvl w:val="0"/>
          <w:numId w:val="4"/>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6" w:name="_Toc23869"/>
      <w:r>
        <w:rPr>
          <w:rFonts w:hint="eastAsia" w:ascii="微软雅黑" w:hAnsi="微软雅黑" w:eastAsia="微软雅黑" w:cs="微软雅黑"/>
          <w:b w:val="0"/>
          <w:bCs w:val="0"/>
          <w:sz w:val="28"/>
          <w:szCs w:val="28"/>
        </w:rPr>
        <w:t>总体就业率</w:t>
      </w:r>
      <w:bookmarkEnd w:id="6"/>
    </w:p>
    <w:p>
      <w:pPr>
        <w:pStyle w:val="24"/>
        <w:numPr>
          <w:ilvl w:val="0"/>
          <w:numId w:val="5"/>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男女生就业率</w:t>
      </w:r>
    </w:p>
    <w:p>
      <w:pPr>
        <w:pStyle w:val="24"/>
        <w:spacing w:line="360" w:lineRule="auto"/>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年学院毕业生总体就业率9</w:t>
      </w:r>
      <w:r>
        <w:rPr>
          <w:rFonts w:ascii="微软雅黑" w:hAnsi="微软雅黑" w:eastAsia="微软雅黑"/>
        </w:rPr>
        <w:t>4.32%</w:t>
      </w:r>
      <w:r>
        <w:rPr>
          <w:rFonts w:hint="eastAsia" w:ascii="微软雅黑" w:hAnsi="微软雅黑" w:eastAsia="微软雅黑"/>
        </w:rPr>
        <w:t>，如图1</w:t>
      </w:r>
      <w:r>
        <w:rPr>
          <w:rFonts w:ascii="微软雅黑" w:hAnsi="微软雅黑" w:eastAsia="微软雅黑"/>
        </w:rPr>
        <w:t>-6</w:t>
      </w:r>
      <w:r>
        <w:rPr>
          <w:rFonts w:hint="eastAsia" w:ascii="微软雅黑" w:hAnsi="微软雅黑" w:eastAsia="微软雅黑"/>
        </w:rPr>
        <w:t>；其中男生就业率9</w:t>
      </w:r>
      <w:r>
        <w:rPr>
          <w:rFonts w:ascii="微软雅黑" w:hAnsi="微软雅黑" w:eastAsia="微软雅黑"/>
        </w:rPr>
        <w:t>6.21%</w:t>
      </w:r>
      <w:r>
        <w:rPr>
          <w:rFonts w:hint="eastAsia" w:ascii="微软雅黑" w:hAnsi="微软雅黑" w:eastAsia="微软雅黑"/>
        </w:rPr>
        <w:t>，女生就业率9</w:t>
      </w:r>
      <w:r>
        <w:rPr>
          <w:rFonts w:ascii="微软雅黑" w:hAnsi="微软雅黑" w:eastAsia="微软雅黑"/>
        </w:rPr>
        <w:t>3.23%</w:t>
      </w:r>
      <w:r>
        <w:rPr>
          <w:rFonts w:hint="eastAsia" w:ascii="微软雅黑" w:hAnsi="微软雅黑" w:eastAsia="微软雅黑"/>
        </w:rPr>
        <w:t>。</w:t>
      </w:r>
    </w:p>
    <w:p>
      <w:pPr>
        <w:pStyle w:val="24"/>
        <w:spacing w:line="360" w:lineRule="auto"/>
        <w:ind w:left="0" w:leftChars="0" w:firstLine="0" w:firstLineChars="0"/>
        <w:rPr>
          <w:rFonts w:ascii="微软雅黑" w:hAnsi="微软雅黑" w:eastAsia="微软雅黑"/>
        </w:rPr>
      </w:pPr>
      <w:r>
        <w:drawing>
          <wp:inline distT="0" distB="0" distL="114300" distR="114300">
            <wp:extent cx="5767705" cy="2519680"/>
            <wp:effectExtent l="4445" t="4445" r="19050" b="952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6</w:t>
      </w:r>
      <w:r>
        <w:rPr>
          <w:rFonts w:hint="eastAsia" w:ascii="微软雅黑" w:hAnsi="微软雅黑" w:eastAsia="微软雅黑"/>
          <w:color w:val="000000"/>
          <w:sz w:val="20"/>
          <w:szCs w:val="20"/>
        </w:rPr>
        <w:t xml:space="preserve">   2017年毕业生就业率分布</w:t>
      </w:r>
    </w:p>
    <w:p>
      <w:pPr>
        <w:pStyle w:val="24"/>
        <w:numPr>
          <w:ilvl w:val="0"/>
          <w:numId w:val="5"/>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各</w:t>
      </w:r>
      <w:r>
        <w:rPr>
          <w:rFonts w:hint="eastAsia" w:ascii="微软雅黑" w:hAnsi="微软雅黑" w:eastAsia="微软雅黑"/>
          <w:sz w:val="24"/>
          <w:szCs w:val="24"/>
          <w:lang w:val="en-US" w:eastAsia="zh-CN"/>
        </w:rPr>
        <w:t>系部</w:t>
      </w:r>
      <w:r>
        <w:rPr>
          <w:rFonts w:hint="eastAsia" w:ascii="微软雅黑" w:hAnsi="微软雅黑" w:eastAsia="微软雅黑"/>
          <w:sz w:val="24"/>
          <w:szCs w:val="24"/>
        </w:rPr>
        <w:t>就业率</w:t>
      </w:r>
    </w:p>
    <w:p>
      <w:pPr>
        <w:pStyle w:val="24"/>
        <w:spacing w:line="360" w:lineRule="auto"/>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年学院各系就业率分布如图1</w:t>
      </w:r>
      <w:r>
        <w:rPr>
          <w:rFonts w:ascii="微软雅黑" w:hAnsi="微软雅黑" w:eastAsia="微软雅黑"/>
        </w:rPr>
        <w:t>-7</w:t>
      </w:r>
      <w:r>
        <w:rPr>
          <w:rFonts w:hint="eastAsia" w:ascii="微软雅黑" w:hAnsi="微软雅黑" w:eastAsia="微软雅黑"/>
        </w:rPr>
        <w:t>，就业率排名前三的院系分别是：滁州分校实现百分百就业，美术史（9</w:t>
      </w:r>
      <w:r>
        <w:rPr>
          <w:rFonts w:ascii="微软雅黑" w:hAnsi="微软雅黑" w:eastAsia="微软雅黑"/>
        </w:rPr>
        <w:t>6.9%</w:t>
      </w:r>
      <w:r>
        <w:rPr>
          <w:rFonts w:hint="eastAsia" w:ascii="微软雅黑" w:hAnsi="微软雅黑" w:eastAsia="微软雅黑"/>
        </w:rPr>
        <w:t>）位居第二，综艺系（9</w:t>
      </w:r>
      <w:r>
        <w:rPr>
          <w:rFonts w:ascii="微软雅黑" w:hAnsi="微软雅黑" w:eastAsia="微软雅黑"/>
        </w:rPr>
        <w:t>6.72%</w:t>
      </w:r>
      <w:r>
        <w:rPr>
          <w:rFonts w:hint="eastAsia" w:ascii="微软雅黑" w:hAnsi="微软雅黑" w:eastAsia="微软雅黑"/>
        </w:rPr>
        <w:t>）位居第三。</w:t>
      </w:r>
    </w:p>
    <w:p>
      <w:pPr>
        <w:pStyle w:val="24"/>
        <w:spacing w:line="360" w:lineRule="auto"/>
        <w:ind w:left="0" w:leftChars="0" w:firstLine="0" w:firstLineChars="0"/>
      </w:pPr>
    </w:p>
    <w:p>
      <w:pPr>
        <w:pStyle w:val="24"/>
        <w:spacing w:line="360" w:lineRule="auto"/>
        <w:ind w:left="0" w:leftChars="0" w:firstLine="0" w:firstLineChars="0"/>
      </w:pPr>
      <w:r>
        <w:drawing>
          <wp:inline distT="0" distB="0" distL="114300" distR="114300">
            <wp:extent cx="5772150" cy="2990215"/>
            <wp:effectExtent l="4445" t="4445" r="14605" b="15240"/>
            <wp:docPr id="2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7</w:t>
      </w:r>
      <w:r>
        <w:rPr>
          <w:rFonts w:hint="eastAsia" w:ascii="微软雅黑" w:hAnsi="微软雅黑" w:eastAsia="微软雅黑"/>
          <w:color w:val="000000"/>
          <w:sz w:val="20"/>
          <w:szCs w:val="20"/>
        </w:rPr>
        <w:t xml:space="preserve">  2017年毕业生各</w:t>
      </w:r>
      <w:r>
        <w:rPr>
          <w:rFonts w:hint="eastAsia" w:ascii="微软雅黑" w:hAnsi="微软雅黑" w:eastAsia="微软雅黑"/>
          <w:color w:val="000000"/>
          <w:sz w:val="20"/>
          <w:szCs w:val="20"/>
          <w:lang w:val="en-US" w:eastAsia="zh-CN"/>
        </w:rPr>
        <w:t>系部</w:t>
      </w:r>
      <w:r>
        <w:rPr>
          <w:rFonts w:hint="eastAsia" w:ascii="微软雅黑" w:hAnsi="微软雅黑" w:eastAsia="微软雅黑"/>
          <w:color w:val="000000"/>
          <w:sz w:val="20"/>
          <w:szCs w:val="20"/>
        </w:rPr>
        <w:t>就业率分布</w:t>
      </w:r>
    </w:p>
    <w:p>
      <w:pPr>
        <w:pStyle w:val="3"/>
        <w:keepNext/>
        <w:keepLines/>
        <w:pageBreakBefore w:val="0"/>
        <w:widowControl w:val="0"/>
        <w:numPr>
          <w:ilvl w:val="0"/>
          <w:numId w:val="4"/>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7" w:name="_Toc21309"/>
      <w:r>
        <w:rPr>
          <w:rFonts w:hint="eastAsia" w:ascii="微软雅黑" w:hAnsi="微软雅黑" w:eastAsia="微软雅黑" w:cs="微软雅黑"/>
          <w:b w:val="0"/>
          <w:bCs w:val="0"/>
          <w:sz w:val="28"/>
          <w:szCs w:val="28"/>
        </w:rPr>
        <w:t>面向基层就业情况分布</w:t>
      </w:r>
      <w:bookmarkEnd w:id="7"/>
    </w:p>
    <w:p>
      <w:pPr>
        <w:pStyle w:val="24"/>
        <w:spacing w:line="360" w:lineRule="auto"/>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年学院仅1人面向西部地区就业。</w:t>
      </w:r>
    </w:p>
    <w:p>
      <w:pPr>
        <w:pStyle w:val="3"/>
        <w:keepNext/>
        <w:keepLines/>
        <w:pageBreakBefore w:val="0"/>
        <w:widowControl w:val="0"/>
        <w:numPr>
          <w:ilvl w:val="0"/>
          <w:numId w:val="4"/>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8" w:name="_Toc22707"/>
      <w:r>
        <w:rPr>
          <w:rFonts w:hint="eastAsia" w:ascii="微软雅黑" w:hAnsi="微软雅黑" w:eastAsia="微软雅黑" w:cs="微软雅黑"/>
          <w:b w:val="0"/>
          <w:bCs w:val="0"/>
          <w:sz w:val="28"/>
          <w:szCs w:val="28"/>
        </w:rPr>
        <w:t>未就业分析</w:t>
      </w:r>
      <w:bookmarkEnd w:id="8"/>
    </w:p>
    <w:p>
      <w:pPr>
        <w:pStyle w:val="24"/>
        <w:numPr>
          <w:ilvl w:val="0"/>
          <w:numId w:val="6"/>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未就业学历性别分布</w:t>
      </w:r>
    </w:p>
    <w:p>
      <w:pPr>
        <w:pStyle w:val="24"/>
        <w:spacing w:line="360" w:lineRule="auto"/>
        <w:rPr>
          <w:rFonts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年学院未就业率分布如图1</w:t>
      </w:r>
      <w:r>
        <w:rPr>
          <w:rFonts w:ascii="微软雅黑" w:hAnsi="微软雅黑" w:eastAsia="微软雅黑"/>
        </w:rPr>
        <w:t>-8</w:t>
      </w:r>
      <w:r>
        <w:rPr>
          <w:rFonts w:hint="eastAsia" w:ascii="微软雅黑" w:hAnsi="微软雅黑" w:eastAsia="微软雅黑"/>
        </w:rPr>
        <w:t>，总体未就业率为5</w:t>
      </w:r>
      <w:r>
        <w:rPr>
          <w:rFonts w:ascii="微软雅黑" w:hAnsi="微软雅黑" w:eastAsia="微软雅黑"/>
        </w:rPr>
        <w:t>.68%</w:t>
      </w:r>
      <w:r>
        <w:rPr>
          <w:rFonts w:hint="eastAsia" w:ascii="微软雅黑" w:hAnsi="微软雅黑" w:eastAsia="微软雅黑"/>
        </w:rPr>
        <w:t>，男生未就业率3</w:t>
      </w:r>
      <w:r>
        <w:rPr>
          <w:rFonts w:ascii="微软雅黑" w:hAnsi="微软雅黑" w:eastAsia="微软雅黑"/>
        </w:rPr>
        <w:t>.79%</w:t>
      </w:r>
      <w:r>
        <w:rPr>
          <w:rFonts w:hint="eastAsia" w:ascii="微软雅黑" w:hAnsi="微软雅黑" w:eastAsia="微软雅黑"/>
        </w:rPr>
        <w:t>，女生未就业率6</w:t>
      </w:r>
      <w:r>
        <w:rPr>
          <w:rFonts w:ascii="微软雅黑" w:hAnsi="微软雅黑" w:eastAsia="微软雅黑"/>
        </w:rPr>
        <w:t>.77%</w:t>
      </w:r>
      <w:r>
        <w:rPr>
          <w:rFonts w:hint="eastAsia" w:ascii="微软雅黑" w:hAnsi="微软雅黑" w:eastAsia="微软雅黑"/>
        </w:rPr>
        <w:t>。</w:t>
      </w: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770880" cy="2505075"/>
            <wp:effectExtent l="4445" t="4445" r="15875" b="508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8</w:t>
      </w:r>
      <w:r>
        <w:rPr>
          <w:rFonts w:hint="eastAsia" w:ascii="微软雅黑" w:hAnsi="微软雅黑" w:eastAsia="微软雅黑"/>
          <w:color w:val="000000"/>
          <w:sz w:val="20"/>
          <w:szCs w:val="20"/>
        </w:rPr>
        <w:t xml:space="preserve">  2017年毕业生未就业率性别分布</w:t>
      </w:r>
    </w:p>
    <w:p>
      <w:pPr>
        <w:pStyle w:val="24"/>
        <w:numPr>
          <w:ilvl w:val="0"/>
          <w:numId w:val="6"/>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未就业院系分布</w:t>
      </w:r>
    </w:p>
    <w:p>
      <w:pPr>
        <w:pStyle w:val="24"/>
        <w:spacing w:line="360" w:lineRule="auto"/>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年学院未就业率院系分布如图1</w:t>
      </w:r>
      <w:r>
        <w:rPr>
          <w:rFonts w:ascii="微软雅黑" w:hAnsi="微软雅黑" w:eastAsia="微软雅黑"/>
        </w:rPr>
        <w:t>-9</w:t>
      </w:r>
      <w:r>
        <w:rPr>
          <w:rFonts w:hint="eastAsia" w:ascii="微软雅黑" w:hAnsi="微软雅黑" w:eastAsia="微软雅黑"/>
        </w:rPr>
        <w:t>，未就业率最高的三个院系分别是：戏曲系（1</w:t>
      </w:r>
      <w:r>
        <w:rPr>
          <w:rFonts w:ascii="微软雅黑" w:hAnsi="微软雅黑" w:eastAsia="微软雅黑"/>
        </w:rPr>
        <w:t>6.67%</w:t>
      </w:r>
      <w:r>
        <w:rPr>
          <w:rFonts w:hint="eastAsia" w:ascii="微软雅黑" w:hAnsi="微软雅黑" w:eastAsia="微软雅黑"/>
        </w:rPr>
        <w:t>）、音乐系（1</w:t>
      </w:r>
      <w:r>
        <w:rPr>
          <w:rFonts w:ascii="微软雅黑" w:hAnsi="微软雅黑" w:eastAsia="微软雅黑"/>
        </w:rPr>
        <w:t>1.32%</w:t>
      </w:r>
      <w:r>
        <w:rPr>
          <w:rFonts w:hint="eastAsia" w:ascii="微软雅黑" w:hAnsi="微软雅黑" w:eastAsia="微软雅黑"/>
        </w:rPr>
        <w:t>）、舞蹈系（6</w:t>
      </w:r>
      <w:r>
        <w:rPr>
          <w:rFonts w:ascii="微软雅黑" w:hAnsi="微软雅黑" w:eastAsia="微软雅黑"/>
        </w:rPr>
        <w:t>.00%</w:t>
      </w:r>
      <w:r>
        <w:rPr>
          <w:rFonts w:hint="eastAsia" w:ascii="微软雅黑" w:hAnsi="微软雅黑" w:eastAsia="微软雅黑"/>
        </w:rPr>
        <w:t>）。</w:t>
      </w:r>
    </w:p>
    <w:p>
      <w:pPr>
        <w:pStyle w:val="24"/>
        <w:spacing w:line="360" w:lineRule="auto"/>
        <w:ind w:left="0" w:leftChars="0" w:firstLine="0" w:firstLineChars="0"/>
        <w:jc w:val="both"/>
      </w:pPr>
      <w:r>
        <w:drawing>
          <wp:inline distT="0" distB="0" distL="114300" distR="114300">
            <wp:extent cx="5770245" cy="2753995"/>
            <wp:effectExtent l="4445" t="4445" r="16510" b="22860"/>
            <wp:docPr id="2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 xml:space="preserve">9  </w:t>
      </w:r>
      <w:r>
        <w:rPr>
          <w:rFonts w:hint="eastAsia" w:ascii="微软雅黑" w:hAnsi="微软雅黑" w:eastAsia="微软雅黑"/>
          <w:color w:val="000000"/>
          <w:sz w:val="20"/>
          <w:szCs w:val="20"/>
        </w:rPr>
        <w:t>2017年毕业生未就业院系分布</w:t>
      </w:r>
    </w:p>
    <w:p>
      <w:pPr>
        <w:pStyle w:val="24"/>
        <w:numPr>
          <w:ilvl w:val="0"/>
          <w:numId w:val="6"/>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未就业原因分析</w:t>
      </w:r>
    </w:p>
    <w:p>
      <w:pPr>
        <w:pStyle w:val="24"/>
        <w:spacing w:line="360" w:lineRule="auto"/>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年学院未就业原因分布如图1</w:t>
      </w:r>
      <w:r>
        <w:rPr>
          <w:rFonts w:ascii="微软雅黑" w:hAnsi="微软雅黑" w:eastAsia="微软雅黑"/>
        </w:rPr>
        <w:t>-10</w:t>
      </w:r>
      <w:r>
        <w:rPr>
          <w:rFonts w:hint="eastAsia" w:ascii="微软雅黑" w:hAnsi="微软雅黑" w:eastAsia="微软雅黑"/>
        </w:rPr>
        <w:t>，未就业原因中求职中比例最高，为9</w:t>
      </w:r>
      <w:r>
        <w:rPr>
          <w:rFonts w:ascii="微软雅黑" w:hAnsi="微软雅黑" w:eastAsia="微软雅黑"/>
        </w:rPr>
        <w:t>7.56%</w:t>
      </w:r>
      <w:r>
        <w:rPr>
          <w:rFonts w:hint="eastAsia" w:ascii="微软雅黑" w:hAnsi="微软雅黑" w:eastAsia="微软雅黑"/>
        </w:rPr>
        <w:t>；拟升学达到2</w:t>
      </w:r>
      <w:r>
        <w:rPr>
          <w:rFonts w:ascii="微软雅黑" w:hAnsi="微软雅黑" w:eastAsia="微软雅黑"/>
        </w:rPr>
        <w:t>.44%</w:t>
      </w:r>
      <w:r>
        <w:rPr>
          <w:rFonts w:hint="eastAsia" w:ascii="微软雅黑" w:hAnsi="微软雅黑" w:eastAsia="微软雅黑"/>
        </w:rPr>
        <w:t>。</w:t>
      </w:r>
    </w:p>
    <w:p>
      <w:pPr>
        <w:pStyle w:val="24"/>
        <w:spacing w:line="360" w:lineRule="auto"/>
        <w:ind w:left="0" w:leftChars="0" w:firstLine="0" w:firstLineChars="0"/>
        <w:jc w:val="both"/>
      </w:pPr>
      <w:r>
        <w:drawing>
          <wp:inline distT="0" distB="0" distL="114300" distR="114300">
            <wp:extent cx="5771515" cy="2781300"/>
            <wp:effectExtent l="4445" t="4445" r="15240" b="14605"/>
            <wp:docPr id="2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 xml:space="preserve">10  </w:t>
      </w:r>
      <w:r>
        <w:rPr>
          <w:rFonts w:hint="eastAsia" w:ascii="微软雅黑" w:hAnsi="微软雅黑" w:eastAsia="微软雅黑"/>
          <w:color w:val="000000"/>
          <w:sz w:val="20"/>
          <w:szCs w:val="20"/>
        </w:rPr>
        <w:t>2017年毕业生未就业原因分布</w:t>
      </w:r>
    </w:p>
    <w:p>
      <w:pPr>
        <w:pStyle w:val="24"/>
        <w:spacing w:line="360" w:lineRule="auto"/>
        <w:jc w:val="center"/>
        <w:rPr>
          <w:rFonts w:hint="eastAsia" w:ascii="微软雅黑" w:hAnsi="微软雅黑" w:eastAsia="微软雅黑"/>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100" w:after="0" w:afterLines="100" w:line="360" w:lineRule="auto"/>
        <w:ind w:left="1083" w:leftChars="0" w:right="0" w:rightChars="0" w:hanging="1083" w:firstLineChars="0"/>
        <w:jc w:val="center"/>
        <w:textAlignment w:val="auto"/>
        <w:outlineLvl w:val="0"/>
        <w:rPr>
          <w:rFonts w:hint="eastAsia" w:ascii="微软雅黑" w:hAnsi="微软雅黑" w:eastAsia="微软雅黑" w:cs="微软雅黑"/>
          <w:b w:val="0"/>
          <w:bCs w:val="0"/>
          <w:sz w:val="30"/>
          <w:szCs w:val="30"/>
          <w:lang w:val="en-US" w:eastAsia="zh-CN"/>
        </w:rPr>
      </w:pPr>
      <w:bookmarkStart w:id="9" w:name="_Toc11042"/>
      <w:r>
        <w:rPr>
          <w:rFonts w:hint="eastAsia" w:ascii="微软雅黑" w:hAnsi="微软雅黑" w:eastAsia="微软雅黑" w:cs="微软雅黑"/>
          <w:b w:val="0"/>
          <w:bCs w:val="0"/>
          <w:sz w:val="30"/>
          <w:szCs w:val="30"/>
          <w:lang w:val="en-US" w:eastAsia="zh-CN"/>
        </w:rPr>
        <w:t>毕业流向</w:t>
      </w:r>
      <w:bookmarkEnd w:id="9"/>
    </w:p>
    <w:p>
      <w:pPr>
        <w:pStyle w:val="3"/>
        <w:keepNext/>
        <w:keepLines/>
        <w:pageBreakBefore w:val="0"/>
        <w:widowControl w:val="0"/>
        <w:numPr>
          <w:ilvl w:val="0"/>
          <w:numId w:val="7"/>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10" w:name="_Toc32718"/>
      <w:r>
        <w:rPr>
          <w:rFonts w:hint="eastAsia" w:ascii="微软雅黑" w:hAnsi="微软雅黑" w:eastAsia="微软雅黑" w:cs="微软雅黑"/>
          <w:b w:val="0"/>
          <w:bCs w:val="0"/>
          <w:sz w:val="28"/>
          <w:szCs w:val="28"/>
        </w:rPr>
        <w:t>毕业去向分析</w:t>
      </w:r>
      <w:bookmarkEnd w:id="10"/>
    </w:p>
    <w:p>
      <w:pPr>
        <w:pStyle w:val="24"/>
        <w:spacing w:line="360" w:lineRule="auto"/>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年学院毕业去向分布如图1</w:t>
      </w:r>
      <w:r>
        <w:rPr>
          <w:rFonts w:ascii="微软雅黑" w:hAnsi="微软雅黑" w:eastAsia="微软雅黑"/>
        </w:rPr>
        <w:t>-11</w:t>
      </w:r>
      <w:r>
        <w:rPr>
          <w:rFonts w:hint="eastAsia" w:ascii="微软雅黑" w:hAnsi="微软雅黑" w:eastAsia="微软雅黑"/>
        </w:rPr>
        <w:t>，毕业生中签就业协议形式就业达到8</w:t>
      </w:r>
      <w:r>
        <w:rPr>
          <w:rFonts w:ascii="微软雅黑" w:hAnsi="微软雅黑" w:eastAsia="微软雅黑"/>
        </w:rPr>
        <w:t>1.72%</w:t>
      </w:r>
      <w:r>
        <w:rPr>
          <w:rFonts w:hint="eastAsia" w:ascii="微软雅黑" w:hAnsi="微软雅黑" w:eastAsia="微软雅黑"/>
        </w:rPr>
        <w:t>，是学院毕业生毕业后主要去向。其次升学，占比6</w:t>
      </w:r>
      <w:r>
        <w:rPr>
          <w:rFonts w:ascii="微软雅黑" w:hAnsi="微软雅黑" w:eastAsia="微软雅黑"/>
        </w:rPr>
        <w:t>.93%</w:t>
      </w:r>
      <w:r>
        <w:rPr>
          <w:rFonts w:hint="eastAsia" w:ascii="微软雅黑" w:hAnsi="微软雅黑" w:eastAsia="微软雅黑"/>
        </w:rPr>
        <w:t>。</w:t>
      </w:r>
    </w:p>
    <w:p>
      <w:pPr>
        <w:pStyle w:val="24"/>
        <w:spacing w:line="360" w:lineRule="auto"/>
        <w:ind w:left="0" w:leftChars="0" w:firstLine="0" w:firstLineChars="0"/>
        <w:jc w:val="both"/>
      </w:pPr>
      <w:r>
        <w:drawing>
          <wp:inline distT="0" distB="0" distL="114300" distR="114300">
            <wp:extent cx="5769610" cy="2548890"/>
            <wp:effectExtent l="4445" t="4445" r="17145" b="18415"/>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11</w:t>
      </w:r>
      <w:r>
        <w:rPr>
          <w:rFonts w:hint="eastAsia" w:ascii="微软雅黑" w:hAnsi="微软雅黑" w:eastAsia="微软雅黑"/>
          <w:color w:val="000000"/>
          <w:sz w:val="20"/>
          <w:szCs w:val="20"/>
        </w:rPr>
        <w:t xml:space="preserve">  2017年毕业生总体去向分布</w:t>
      </w:r>
    </w:p>
    <w:p>
      <w:pPr>
        <w:pStyle w:val="3"/>
        <w:keepNext/>
        <w:keepLines/>
        <w:pageBreakBefore w:val="0"/>
        <w:widowControl w:val="0"/>
        <w:numPr>
          <w:ilvl w:val="0"/>
          <w:numId w:val="7"/>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11" w:name="_Toc143"/>
      <w:r>
        <w:rPr>
          <w:rFonts w:hint="eastAsia" w:ascii="微软雅黑" w:hAnsi="微软雅黑" w:eastAsia="微软雅黑" w:cs="微软雅黑"/>
          <w:b w:val="0"/>
          <w:bCs w:val="0"/>
          <w:sz w:val="28"/>
          <w:szCs w:val="28"/>
        </w:rPr>
        <w:t>单位行业分析</w:t>
      </w:r>
      <w:bookmarkEnd w:id="11"/>
    </w:p>
    <w:p>
      <w:pPr>
        <w:pStyle w:val="24"/>
        <w:spacing w:line="360" w:lineRule="auto"/>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年学院毕业生就业单位行业分布如图1</w:t>
      </w:r>
      <w:r>
        <w:rPr>
          <w:rFonts w:ascii="微软雅黑" w:hAnsi="微软雅黑" w:eastAsia="微软雅黑"/>
        </w:rPr>
        <w:t>-12</w:t>
      </w:r>
      <w:r>
        <w:rPr>
          <w:rFonts w:hint="eastAsia" w:ascii="微软雅黑" w:hAnsi="微软雅黑" w:eastAsia="微软雅黑"/>
        </w:rPr>
        <w:t>，毕业生就业单位比例最高的是文化、体育和娱乐业，人数占比2</w:t>
      </w:r>
      <w:r>
        <w:rPr>
          <w:rFonts w:ascii="微软雅黑" w:hAnsi="微软雅黑" w:eastAsia="微软雅黑"/>
        </w:rPr>
        <w:t>7.62%</w:t>
      </w:r>
      <w:r>
        <w:rPr>
          <w:rFonts w:hint="eastAsia" w:ascii="微软雅黑" w:hAnsi="微软雅黑" w:eastAsia="微软雅黑"/>
        </w:rPr>
        <w:t>；其次是教育行业（1</w:t>
      </w:r>
      <w:r>
        <w:rPr>
          <w:rFonts w:ascii="微软雅黑" w:hAnsi="微软雅黑" w:eastAsia="微软雅黑"/>
        </w:rPr>
        <w:t>4.42%</w:t>
      </w:r>
      <w:r>
        <w:rPr>
          <w:rFonts w:hint="eastAsia" w:ascii="微软雅黑" w:hAnsi="微软雅黑" w:eastAsia="微软雅黑"/>
        </w:rPr>
        <w:t>），再次1</w:t>
      </w:r>
      <w:r>
        <w:rPr>
          <w:rFonts w:ascii="微软雅黑" w:hAnsi="微软雅黑" w:eastAsia="微软雅黑"/>
        </w:rPr>
        <w:t>0.94%</w:t>
      </w:r>
      <w:r>
        <w:rPr>
          <w:rFonts w:hint="eastAsia" w:ascii="微软雅黑" w:hAnsi="微软雅黑" w:eastAsia="微软雅黑"/>
        </w:rPr>
        <w:t>的毕业生选择了批发和零售业就业。</w:t>
      </w:r>
    </w:p>
    <w:p>
      <w:pPr>
        <w:pStyle w:val="24"/>
        <w:spacing w:line="360" w:lineRule="auto"/>
        <w:jc w:val="center"/>
        <w:rPr>
          <w:rFonts w:ascii="微软雅黑" w:hAnsi="微软雅黑" w:eastAsia="微软雅黑"/>
        </w:rPr>
      </w:pP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769610" cy="3328035"/>
            <wp:effectExtent l="4445" t="4445" r="17145" b="2032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12</w:t>
      </w:r>
      <w:r>
        <w:rPr>
          <w:rFonts w:hint="eastAsia" w:ascii="微软雅黑" w:hAnsi="微软雅黑" w:eastAsia="微软雅黑"/>
          <w:color w:val="000000"/>
          <w:sz w:val="20"/>
          <w:szCs w:val="20"/>
        </w:rPr>
        <w:t xml:space="preserve">  2017年毕业生就业单位行业分布</w:t>
      </w:r>
    </w:p>
    <w:p>
      <w:pPr>
        <w:pStyle w:val="3"/>
        <w:keepNext/>
        <w:keepLines/>
        <w:pageBreakBefore w:val="0"/>
        <w:widowControl w:val="0"/>
        <w:numPr>
          <w:ilvl w:val="0"/>
          <w:numId w:val="7"/>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12" w:name="_Toc6637"/>
      <w:r>
        <w:rPr>
          <w:rFonts w:hint="eastAsia" w:ascii="微软雅黑" w:hAnsi="微软雅黑" w:eastAsia="微软雅黑" w:cs="微软雅黑"/>
          <w:b w:val="0"/>
          <w:bCs w:val="0"/>
          <w:sz w:val="28"/>
          <w:szCs w:val="28"/>
        </w:rPr>
        <w:t>单位性质分析</w:t>
      </w:r>
      <w:bookmarkEnd w:id="12"/>
    </w:p>
    <w:p>
      <w:pPr>
        <w:pStyle w:val="24"/>
        <w:spacing w:line="360" w:lineRule="auto"/>
        <w:rPr>
          <w:rFonts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年学院毕业生就业单位性质分布如图1</w:t>
      </w:r>
      <w:r>
        <w:rPr>
          <w:rFonts w:ascii="微软雅黑" w:hAnsi="微软雅黑" w:eastAsia="微软雅黑"/>
        </w:rPr>
        <w:t>-13</w:t>
      </w:r>
      <w:r>
        <w:rPr>
          <w:rFonts w:hint="eastAsia" w:ascii="微软雅黑" w:hAnsi="微软雅黑" w:eastAsia="微软雅黑"/>
        </w:rPr>
        <w:t>，毕业生就业性质中其他企业占比最高，达到7</w:t>
      </w:r>
      <w:r>
        <w:rPr>
          <w:rFonts w:ascii="微软雅黑" w:hAnsi="微软雅黑" w:eastAsia="微软雅黑"/>
        </w:rPr>
        <w:t>2.31%</w:t>
      </w:r>
      <w:r>
        <w:rPr>
          <w:rFonts w:hint="eastAsia" w:ascii="微软雅黑" w:hAnsi="微软雅黑" w:eastAsia="微软雅黑"/>
        </w:rPr>
        <w:t>；其次是其他事业单位（5</w:t>
      </w:r>
      <w:r>
        <w:rPr>
          <w:rFonts w:ascii="微软雅黑" w:hAnsi="微软雅黑" w:eastAsia="微软雅黑"/>
        </w:rPr>
        <w:t>.07%</w:t>
      </w:r>
      <w:r>
        <w:rPr>
          <w:rFonts w:hint="eastAsia" w:ascii="微软雅黑" w:hAnsi="微软雅黑" w:eastAsia="微软雅黑"/>
        </w:rPr>
        <w:t>），国有企业有4</w:t>
      </w:r>
      <w:r>
        <w:rPr>
          <w:rFonts w:ascii="微软雅黑" w:hAnsi="微软雅黑" w:eastAsia="微软雅黑"/>
        </w:rPr>
        <w:t>.28%</w:t>
      </w:r>
      <w:r>
        <w:rPr>
          <w:rFonts w:hint="eastAsia" w:ascii="微软雅黑" w:hAnsi="微软雅黑" w:eastAsia="微软雅黑"/>
        </w:rPr>
        <w:t>的毕业生选择去国有企业。</w:t>
      </w: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673090" cy="2515235"/>
            <wp:effectExtent l="4445" t="4445" r="18415" b="1397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jc w:val="center"/>
        <w:rPr>
          <w:rFonts w:ascii="微软雅黑" w:hAnsi="微软雅黑" w:eastAsia="微软雅黑"/>
        </w:rPr>
      </w:pPr>
      <w:r>
        <w:rPr>
          <w:rFonts w:hint="eastAsia" w:ascii="微软雅黑" w:hAnsi="微软雅黑" w:eastAsia="微软雅黑"/>
          <w:color w:val="000000"/>
          <w:sz w:val="20"/>
          <w:szCs w:val="20"/>
        </w:rPr>
        <w:t>图1-</w:t>
      </w:r>
      <w:r>
        <w:rPr>
          <w:rFonts w:ascii="微软雅黑" w:hAnsi="微软雅黑" w:eastAsia="微软雅黑"/>
          <w:color w:val="000000"/>
          <w:sz w:val="20"/>
          <w:szCs w:val="20"/>
        </w:rPr>
        <w:t>13</w:t>
      </w:r>
      <w:r>
        <w:rPr>
          <w:rFonts w:hint="eastAsia" w:ascii="微软雅黑" w:hAnsi="微软雅黑" w:eastAsia="微软雅黑"/>
          <w:color w:val="000000"/>
          <w:sz w:val="20"/>
          <w:szCs w:val="20"/>
        </w:rPr>
        <w:t xml:space="preserve">  2017年毕业生就业单位性质分布</w:t>
      </w:r>
    </w:p>
    <w:p>
      <w:pPr>
        <w:pStyle w:val="3"/>
        <w:keepNext/>
        <w:keepLines/>
        <w:pageBreakBefore w:val="0"/>
        <w:widowControl w:val="0"/>
        <w:numPr>
          <w:ilvl w:val="0"/>
          <w:numId w:val="7"/>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13" w:name="_Toc29475"/>
      <w:r>
        <w:rPr>
          <w:rFonts w:hint="eastAsia" w:ascii="微软雅黑" w:hAnsi="微软雅黑" w:eastAsia="微软雅黑" w:cs="微软雅黑"/>
          <w:b w:val="0"/>
          <w:bCs w:val="0"/>
          <w:sz w:val="28"/>
          <w:szCs w:val="28"/>
        </w:rPr>
        <w:t>工作岗位分析</w:t>
      </w:r>
      <w:bookmarkEnd w:id="13"/>
    </w:p>
    <w:p>
      <w:pPr>
        <w:pStyle w:val="24"/>
        <w:spacing w:line="360" w:lineRule="auto"/>
        <w:rPr>
          <w:rFonts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年学院毕业生毕业会工作岗位分布如图1</w:t>
      </w:r>
      <w:r>
        <w:rPr>
          <w:rFonts w:ascii="微软雅黑" w:hAnsi="微软雅黑" w:eastAsia="微软雅黑"/>
        </w:rPr>
        <w:t>-14</w:t>
      </w:r>
      <w:r>
        <w:rPr>
          <w:rFonts w:hint="eastAsia" w:ascii="微软雅黑" w:hAnsi="微软雅黑" w:eastAsia="微软雅黑"/>
        </w:rPr>
        <w:t>，工作岗位中比例最高的工作岗位“其他人员”达到4</w:t>
      </w:r>
      <w:r>
        <w:rPr>
          <w:rFonts w:ascii="微软雅黑" w:hAnsi="微软雅黑" w:eastAsia="微软雅黑"/>
        </w:rPr>
        <w:t>4.85%</w:t>
      </w:r>
      <w:r>
        <w:rPr>
          <w:rFonts w:hint="eastAsia" w:ascii="微软雅黑" w:hAnsi="微软雅黑" w:eastAsia="微软雅黑"/>
        </w:rPr>
        <w:t>，其次文学艺术工作人员达到1</w:t>
      </w:r>
      <w:r>
        <w:rPr>
          <w:rFonts w:ascii="微软雅黑" w:hAnsi="微软雅黑" w:eastAsia="微软雅黑"/>
        </w:rPr>
        <w:t>5.69%</w:t>
      </w:r>
      <w:r>
        <w:rPr>
          <w:rFonts w:hint="eastAsia" w:ascii="微软雅黑" w:hAnsi="微软雅黑" w:eastAsia="微软雅黑"/>
        </w:rPr>
        <w:t>，办事人员和有关人员占比1</w:t>
      </w:r>
      <w:r>
        <w:rPr>
          <w:rFonts w:ascii="微软雅黑" w:hAnsi="微软雅黑" w:eastAsia="微软雅黑"/>
        </w:rPr>
        <w:t>3.47%</w:t>
      </w:r>
      <w:r>
        <w:rPr>
          <w:rFonts w:hint="eastAsia" w:ascii="微软雅黑" w:hAnsi="微软雅黑" w:eastAsia="微软雅黑"/>
        </w:rPr>
        <w:t>。</w:t>
      </w: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733415" cy="2657475"/>
            <wp:effectExtent l="4445" t="4445" r="15240" b="508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jc w:val="center"/>
        <w:rPr>
          <w:rFonts w:ascii="微软雅黑" w:hAnsi="微软雅黑" w:eastAsia="微软雅黑"/>
          <w:szCs w:val="21"/>
        </w:rPr>
      </w:pPr>
      <w:r>
        <w:rPr>
          <w:rFonts w:hint="eastAsia" w:ascii="微软雅黑" w:hAnsi="微软雅黑" w:eastAsia="微软雅黑"/>
          <w:color w:val="000000"/>
          <w:szCs w:val="21"/>
        </w:rPr>
        <w:t>图1-</w:t>
      </w:r>
      <w:r>
        <w:rPr>
          <w:rFonts w:ascii="微软雅黑" w:hAnsi="微软雅黑" w:eastAsia="微软雅黑"/>
          <w:color w:val="000000"/>
          <w:szCs w:val="21"/>
        </w:rPr>
        <w:t>14</w:t>
      </w:r>
      <w:r>
        <w:rPr>
          <w:rFonts w:hint="eastAsia" w:ascii="微软雅黑" w:hAnsi="微软雅黑" w:eastAsia="微软雅黑"/>
          <w:color w:val="000000"/>
          <w:szCs w:val="21"/>
        </w:rPr>
        <w:t xml:space="preserve">  2017年毕业生工作岗位分布</w:t>
      </w:r>
    </w:p>
    <w:p>
      <w:pPr>
        <w:pStyle w:val="24"/>
        <w:spacing w:line="360" w:lineRule="auto"/>
        <w:jc w:val="center"/>
        <w:rPr>
          <w:rFonts w:hint="eastAsia" w:ascii="微软雅黑" w:hAnsi="微软雅黑" w:eastAsia="微软雅黑"/>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100" w:after="0" w:afterLines="100" w:line="360" w:lineRule="auto"/>
        <w:ind w:left="1083" w:leftChars="0" w:right="0" w:rightChars="0" w:hanging="1083" w:firstLineChars="0"/>
        <w:jc w:val="center"/>
        <w:textAlignment w:val="auto"/>
        <w:outlineLvl w:val="0"/>
        <w:rPr>
          <w:rFonts w:hint="eastAsia" w:ascii="微软雅黑" w:hAnsi="微软雅黑" w:eastAsia="微软雅黑" w:cs="微软雅黑"/>
          <w:b w:val="0"/>
          <w:bCs w:val="0"/>
          <w:sz w:val="30"/>
          <w:szCs w:val="30"/>
          <w:lang w:val="en-US" w:eastAsia="zh-CN"/>
        </w:rPr>
      </w:pPr>
      <w:bookmarkStart w:id="14" w:name="_Toc20226"/>
      <w:r>
        <w:rPr>
          <w:rFonts w:hint="eastAsia" w:ascii="微软雅黑" w:hAnsi="微软雅黑" w:eastAsia="微软雅黑" w:cs="微软雅黑"/>
          <w:b w:val="0"/>
          <w:bCs w:val="0"/>
          <w:sz w:val="30"/>
          <w:szCs w:val="30"/>
          <w:lang w:val="en-US" w:eastAsia="zh-CN"/>
        </w:rPr>
        <w:t>就业地域流向分析</w:t>
      </w:r>
      <w:bookmarkEnd w:id="14"/>
    </w:p>
    <w:p>
      <w:pPr>
        <w:pStyle w:val="3"/>
        <w:keepNext/>
        <w:keepLines/>
        <w:pageBreakBefore w:val="0"/>
        <w:widowControl w:val="0"/>
        <w:numPr>
          <w:ilvl w:val="0"/>
          <w:numId w:val="8"/>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15" w:name="_Toc16015"/>
      <w:r>
        <w:rPr>
          <w:rFonts w:hint="eastAsia" w:ascii="微软雅黑" w:hAnsi="微软雅黑" w:eastAsia="微软雅黑" w:cs="微软雅黑"/>
          <w:b w:val="0"/>
          <w:bCs w:val="0"/>
          <w:sz w:val="28"/>
          <w:szCs w:val="28"/>
        </w:rPr>
        <w:t>就业地区域类型</w:t>
      </w:r>
      <w:bookmarkEnd w:id="15"/>
    </w:p>
    <w:p>
      <w:pPr>
        <w:pStyle w:val="24"/>
        <w:numPr>
          <w:ilvl w:val="0"/>
          <w:numId w:val="9"/>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毕业生就业区域流向分布</w:t>
      </w:r>
    </w:p>
    <w:p>
      <w:pPr>
        <w:pStyle w:val="24"/>
        <w:spacing w:line="360" w:lineRule="auto"/>
        <w:rPr>
          <w:rFonts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年学院毕业生就业区域流向分布如图1</w:t>
      </w:r>
      <w:r>
        <w:rPr>
          <w:rFonts w:ascii="微软雅黑" w:hAnsi="微软雅黑" w:eastAsia="微软雅黑"/>
        </w:rPr>
        <w:t>-15</w:t>
      </w:r>
      <w:r>
        <w:rPr>
          <w:rFonts w:hint="eastAsia" w:ascii="微软雅黑" w:hAnsi="微软雅黑" w:eastAsia="微软雅黑"/>
        </w:rPr>
        <w:t>，有9</w:t>
      </w:r>
      <w:r>
        <w:rPr>
          <w:rFonts w:ascii="微软雅黑" w:hAnsi="微软雅黑" w:eastAsia="微软雅黑"/>
        </w:rPr>
        <w:t>5.30%</w:t>
      </w:r>
      <w:r>
        <w:rPr>
          <w:rFonts w:hint="eastAsia" w:ascii="微软雅黑" w:hAnsi="微软雅黑" w:eastAsia="微软雅黑"/>
        </w:rPr>
        <w:t>的毕业生选择华东地区，2</w:t>
      </w:r>
      <w:r>
        <w:rPr>
          <w:rFonts w:ascii="微软雅黑" w:hAnsi="微软雅黑" w:eastAsia="微软雅黑"/>
        </w:rPr>
        <w:t>.5%</w:t>
      </w:r>
      <w:r>
        <w:rPr>
          <w:rFonts w:hint="eastAsia" w:ascii="微软雅黑" w:hAnsi="微软雅黑" w:eastAsia="微软雅黑"/>
        </w:rPr>
        <w:t>的毕业生选择海外及其它，</w:t>
      </w:r>
      <w:r>
        <w:rPr>
          <w:rFonts w:ascii="微软雅黑" w:hAnsi="微软雅黑" w:eastAsia="微软雅黑"/>
        </w:rPr>
        <w:t>1.03%</w:t>
      </w:r>
      <w:r>
        <w:rPr>
          <w:rFonts w:hint="eastAsia" w:ascii="微软雅黑" w:hAnsi="微软雅黑" w:eastAsia="微软雅黑"/>
        </w:rPr>
        <w:t>的毕业生选择华北地区。选择华中、华南、西北地区的毕业相对较少。</w:t>
      </w: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768975" cy="2883535"/>
            <wp:effectExtent l="4445" t="4445" r="17780" b="7620"/>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60" w:lineRule="auto"/>
        <w:jc w:val="center"/>
        <w:rPr>
          <w:rFonts w:ascii="微软雅黑" w:hAnsi="微软雅黑" w:eastAsia="微软雅黑"/>
          <w:color w:val="000000"/>
          <w:szCs w:val="21"/>
        </w:rPr>
      </w:pPr>
      <w:r>
        <w:rPr>
          <w:rFonts w:hint="eastAsia" w:ascii="微软雅黑" w:hAnsi="微软雅黑" w:eastAsia="微软雅黑"/>
          <w:color w:val="000000"/>
          <w:szCs w:val="21"/>
        </w:rPr>
        <w:t>图1-</w:t>
      </w:r>
      <w:r>
        <w:rPr>
          <w:rFonts w:ascii="微软雅黑" w:hAnsi="微软雅黑" w:eastAsia="微软雅黑"/>
          <w:color w:val="000000"/>
          <w:szCs w:val="21"/>
        </w:rPr>
        <w:t>15</w:t>
      </w:r>
      <w:r>
        <w:rPr>
          <w:rFonts w:hint="eastAsia" w:ascii="微软雅黑" w:hAnsi="微软雅黑" w:eastAsia="微软雅黑"/>
          <w:color w:val="000000"/>
          <w:szCs w:val="21"/>
        </w:rPr>
        <w:t xml:space="preserve">  2017年毕业生就业区域流向分布</w:t>
      </w:r>
    </w:p>
    <w:p>
      <w:pPr>
        <w:pStyle w:val="24"/>
        <w:numPr>
          <w:ilvl w:val="0"/>
          <w:numId w:val="9"/>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毕业生就业地域城市类型分布</w:t>
      </w:r>
    </w:p>
    <w:p>
      <w:pPr>
        <w:pStyle w:val="24"/>
        <w:spacing w:line="360" w:lineRule="auto"/>
        <w:rPr>
          <w:rFonts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年学院毕业生就业地域城市分布如图1</w:t>
      </w:r>
      <w:r>
        <w:rPr>
          <w:rFonts w:ascii="微软雅黑" w:hAnsi="微软雅黑" w:eastAsia="微软雅黑"/>
        </w:rPr>
        <w:t>-16</w:t>
      </w:r>
      <w:r>
        <w:rPr>
          <w:rFonts w:hint="eastAsia" w:ascii="微软雅黑" w:hAnsi="微软雅黑" w:eastAsia="微软雅黑"/>
        </w:rPr>
        <w:t>,</w:t>
      </w:r>
      <w:r>
        <w:rPr>
          <w:rFonts w:ascii="微软雅黑" w:hAnsi="微软雅黑" w:eastAsia="微软雅黑"/>
        </w:rPr>
        <w:t xml:space="preserve"> 50.66%</w:t>
      </w:r>
      <w:r>
        <w:rPr>
          <w:rFonts w:hint="eastAsia" w:ascii="微软雅黑" w:hAnsi="微软雅黑" w:eastAsia="微软雅黑"/>
        </w:rPr>
        <w:t>的毕业生选择省会城市就业，2</w:t>
      </w:r>
      <w:r>
        <w:rPr>
          <w:rFonts w:ascii="微软雅黑" w:hAnsi="微软雅黑" w:eastAsia="微软雅黑"/>
        </w:rPr>
        <w:t>3.05%</w:t>
      </w:r>
      <w:r>
        <w:rPr>
          <w:rFonts w:hint="eastAsia" w:ascii="微软雅黑" w:hAnsi="微软雅黑" w:eastAsia="微软雅黑"/>
        </w:rPr>
        <w:t>的毕业生选择地级市就业，1</w:t>
      </w:r>
      <w:r>
        <w:rPr>
          <w:rFonts w:ascii="微软雅黑" w:hAnsi="微软雅黑" w:eastAsia="微软雅黑"/>
        </w:rPr>
        <w:t>8.80%</w:t>
      </w:r>
      <w:r>
        <w:rPr>
          <w:rFonts w:hint="eastAsia" w:ascii="微软雅黑" w:hAnsi="微软雅黑" w:eastAsia="微软雅黑"/>
        </w:rPr>
        <w:t>的毕业生选择县就业。直辖市、海外及其它、县级市、计划单列城市的城市毕业生去的相对较少。</w:t>
      </w: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852160" cy="2590165"/>
            <wp:effectExtent l="4445" t="4445" r="10795" b="15240"/>
            <wp:docPr id="1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360" w:lineRule="auto"/>
        <w:jc w:val="center"/>
        <w:rPr>
          <w:rFonts w:ascii="微软雅黑" w:hAnsi="微软雅黑" w:eastAsia="微软雅黑"/>
          <w:color w:val="000000"/>
          <w:szCs w:val="21"/>
        </w:rPr>
      </w:pPr>
      <w:r>
        <w:rPr>
          <w:rFonts w:hint="eastAsia" w:ascii="微软雅黑" w:hAnsi="微软雅黑" w:eastAsia="微软雅黑"/>
          <w:color w:val="000000"/>
          <w:szCs w:val="21"/>
        </w:rPr>
        <w:t>图1-</w:t>
      </w:r>
      <w:r>
        <w:rPr>
          <w:rFonts w:ascii="微软雅黑" w:hAnsi="微软雅黑" w:eastAsia="微软雅黑"/>
          <w:color w:val="000000"/>
          <w:szCs w:val="21"/>
        </w:rPr>
        <w:t>16</w:t>
      </w:r>
      <w:r>
        <w:rPr>
          <w:rFonts w:hint="eastAsia" w:ascii="微软雅黑" w:hAnsi="微软雅黑" w:eastAsia="微软雅黑"/>
          <w:color w:val="000000"/>
          <w:szCs w:val="21"/>
        </w:rPr>
        <w:t xml:space="preserve">  2017年毕业生就业地域城市类型分布</w:t>
      </w:r>
    </w:p>
    <w:p>
      <w:pPr>
        <w:pStyle w:val="24"/>
        <w:numPr>
          <w:ilvl w:val="0"/>
          <w:numId w:val="9"/>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毕业生就业区域省份分布</w:t>
      </w:r>
    </w:p>
    <w:p>
      <w:pPr>
        <w:pStyle w:val="24"/>
        <w:spacing w:line="360" w:lineRule="auto"/>
        <w:rPr>
          <w:rFonts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年学院毕业生就业区域省份分布如图</w:t>
      </w:r>
      <w:r>
        <w:rPr>
          <w:rFonts w:ascii="微软雅黑" w:hAnsi="微软雅黑" w:eastAsia="微软雅黑"/>
        </w:rPr>
        <w:t>1-17,</w:t>
      </w:r>
      <w:r>
        <w:rPr>
          <w:rFonts w:hint="eastAsia" w:ascii="微软雅黑" w:hAnsi="微软雅黑" w:eastAsia="微软雅黑"/>
        </w:rPr>
        <w:t>我院2</w:t>
      </w:r>
      <w:r>
        <w:rPr>
          <w:rFonts w:ascii="微软雅黑" w:hAnsi="微软雅黑" w:eastAsia="微软雅黑"/>
        </w:rPr>
        <w:t>017</w:t>
      </w:r>
      <w:r>
        <w:rPr>
          <w:rFonts w:hint="eastAsia" w:ascii="微软雅黑" w:hAnsi="微软雅黑" w:eastAsia="微软雅黑"/>
        </w:rPr>
        <w:t>年毕业生就业分布在1</w:t>
      </w:r>
      <w:r>
        <w:rPr>
          <w:rFonts w:ascii="微软雅黑" w:hAnsi="微软雅黑" w:eastAsia="微软雅黑"/>
        </w:rPr>
        <w:t>3</w:t>
      </w:r>
      <w:r>
        <w:rPr>
          <w:rFonts w:hint="eastAsia" w:ascii="微软雅黑" w:hAnsi="微软雅黑" w:eastAsia="微软雅黑"/>
        </w:rPr>
        <w:t>个省/直辖市，就业人数最多的是安徽省及省内（8</w:t>
      </w:r>
      <w:r>
        <w:rPr>
          <w:rFonts w:ascii="微软雅黑" w:hAnsi="微软雅黑" w:eastAsia="微软雅黑"/>
        </w:rPr>
        <w:t>5.09%</w:t>
      </w:r>
      <w:r>
        <w:rPr>
          <w:rFonts w:hint="eastAsia" w:ascii="微软雅黑" w:hAnsi="微软雅黑" w:eastAsia="微软雅黑"/>
        </w:rPr>
        <w:t>）、其次是江西省（4</w:t>
      </w:r>
      <w:r>
        <w:rPr>
          <w:rFonts w:ascii="微软雅黑" w:hAnsi="微软雅黑" w:eastAsia="微软雅黑"/>
        </w:rPr>
        <w:t>.55%</w:t>
      </w:r>
      <w:r>
        <w:rPr>
          <w:rFonts w:hint="eastAsia" w:ascii="微软雅黑" w:hAnsi="微软雅黑" w:eastAsia="微软雅黑"/>
        </w:rPr>
        <w:t>），江苏省（4</w:t>
      </w:r>
      <w:r>
        <w:rPr>
          <w:rFonts w:ascii="微软雅黑" w:hAnsi="微软雅黑" w:eastAsia="微软雅黑"/>
        </w:rPr>
        <w:t>.11%</w:t>
      </w:r>
      <w:r>
        <w:rPr>
          <w:rFonts w:hint="eastAsia" w:ascii="微软雅黑" w:hAnsi="微软雅黑" w:eastAsia="微软雅黑"/>
        </w:rPr>
        <w:t>）。</w:t>
      </w:r>
    </w:p>
    <w:p>
      <w:pPr>
        <w:spacing w:line="360" w:lineRule="auto"/>
        <w:jc w:val="both"/>
        <w:rPr>
          <w:rFonts w:ascii="微软雅黑" w:hAnsi="微软雅黑" w:eastAsia="微软雅黑"/>
        </w:rPr>
      </w:pPr>
      <w:r>
        <w:drawing>
          <wp:inline distT="0" distB="0" distL="114300" distR="114300">
            <wp:extent cx="5769610" cy="2619375"/>
            <wp:effectExtent l="4445" t="4445" r="17145" b="5080"/>
            <wp:docPr id="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360" w:lineRule="auto"/>
        <w:jc w:val="center"/>
        <w:rPr>
          <w:rFonts w:ascii="微软雅黑" w:hAnsi="微软雅黑" w:eastAsia="微软雅黑"/>
          <w:color w:val="000000"/>
          <w:szCs w:val="21"/>
        </w:rPr>
      </w:pPr>
      <w:r>
        <w:rPr>
          <w:rFonts w:hint="eastAsia" w:ascii="微软雅黑" w:hAnsi="微软雅黑" w:eastAsia="微软雅黑"/>
          <w:color w:val="000000"/>
          <w:szCs w:val="21"/>
        </w:rPr>
        <w:t>图1-</w:t>
      </w:r>
      <w:r>
        <w:rPr>
          <w:rFonts w:ascii="微软雅黑" w:hAnsi="微软雅黑" w:eastAsia="微软雅黑"/>
          <w:color w:val="000000"/>
          <w:szCs w:val="21"/>
        </w:rPr>
        <w:t>17</w:t>
      </w:r>
      <w:r>
        <w:rPr>
          <w:rFonts w:hint="eastAsia" w:ascii="微软雅黑" w:hAnsi="微软雅黑" w:eastAsia="微软雅黑"/>
          <w:color w:val="000000"/>
          <w:szCs w:val="21"/>
        </w:rPr>
        <w:t xml:space="preserve">  2017年毕业生就业区域省份分布</w:t>
      </w:r>
    </w:p>
    <w:p>
      <w:pPr>
        <w:pStyle w:val="3"/>
        <w:keepNext/>
        <w:keepLines/>
        <w:pageBreakBefore w:val="0"/>
        <w:widowControl w:val="0"/>
        <w:numPr>
          <w:ilvl w:val="0"/>
          <w:numId w:val="8"/>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rPr>
      </w:pPr>
      <w:bookmarkStart w:id="16" w:name="_Toc31072"/>
      <w:r>
        <w:rPr>
          <w:rFonts w:hint="eastAsia" w:ascii="微软雅黑" w:hAnsi="微软雅黑" w:eastAsia="微软雅黑" w:cs="微软雅黑"/>
          <w:b w:val="0"/>
          <w:bCs w:val="0"/>
          <w:sz w:val="28"/>
          <w:szCs w:val="28"/>
        </w:rPr>
        <w:t>毕业生回原籍工作分析</w:t>
      </w:r>
      <w:bookmarkEnd w:id="16"/>
    </w:p>
    <w:p>
      <w:pPr>
        <w:pStyle w:val="24"/>
        <w:numPr>
          <w:ilvl w:val="0"/>
          <w:numId w:val="10"/>
        </w:numPr>
        <w:spacing w:line="360" w:lineRule="auto"/>
        <w:ind w:firstLineChars="0"/>
        <w:rPr>
          <w:rFonts w:ascii="微软雅黑" w:hAnsi="微软雅黑" w:eastAsia="微软雅黑"/>
          <w:sz w:val="24"/>
          <w:szCs w:val="24"/>
        </w:rPr>
      </w:pPr>
      <w:r>
        <w:rPr>
          <w:rFonts w:hint="eastAsia" w:ascii="微软雅黑" w:hAnsi="微软雅黑" w:eastAsia="微软雅黑"/>
          <w:sz w:val="24"/>
          <w:szCs w:val="24"/>
        </w:rPr>
        <w:t>不同地区毕业生回家乡工作比例分布</w:t>
      </w:r>
    </w:p>
    <w:p>
      <w:pPr>
        <w:pStyle w:val="24"/>
        <w:spacing w:line="360" w:lineRule="auto"/>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年学院毕业生回家乡工作比例分布如图</w:t>
      </w:r>
      <w:r>
        <w:rPr>
          <w:rFonts w:ascii="微软雅黑" w:hAnsi="微软雅黑" w:eastAsia="微软雅黑"/>
        </w:rPr>
        <w:t>1-18</w:t>
      </w:r>
      <w:r>
        <w:rPr>
          <w:rFonts w:hint="eastAsia" w:ascii="微软雅黑" w:hAnsi="微软雅黑" w:eastAsia="微软雅黑"/>
        </w:rPr>
        <w:t>，安徽省生源的毕业生3</w:t>
      </w:r>
      <w:r>
        <w:rPr>
          <w:rFonts w:ascii="微软雅黑" w:hAnsi="微软雅黑" w:eastAsia="微软雅黑"/>
        </w:rPr>
        <w:t>9.91%</w:t>
      </w:r>
      <w:r>
        <w:rPr>
          <w:rFonts w:hint="eastAsia" w:ascii="微软雅黑" w:hAnsi="微软雅黑" w:eastAsia="微软雅黑"/>
        </w:rPr>
        <w:t>选择回家乡工作，江西省生源的毕业生则全部回家乡就业。</w:t>
      </w: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748020" cy="2362200"/>
            <wp:effectExtent l="4445" t="4445" r="19685" b="14605"/>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360" w:lineRule="auto"/>
        <w:jc w:val="center"/>
        <w:rPr>
          <w:rFonts w:ascii="微软雅黑" w:hAnsi="微软雅黑" w:eastAsia="微软雅黑"/>
          <w:color w:val="000000"/>
          <w:szCs w:val="21"/>
        </w:rPr>
      </w:pPr>
      <w:r>
        <w:rPr>
          <w:rFonts w:hint="eastAsia" w:ascii="微软雅黑" w:hAnsi="微软雅黑" w:eastAsia="微软雅黑"/>
          <w:color w:val="000000"/>
          <w:szCs w:val="21"/>
        </w:rPr>
        <w:t>图1-</w:t>
      </w:r>
      <w:r>
        <w:rPr>
          <w:rFonts w:ascii="微软雅黑" w:hAnsi="微软雅黑" w:eastAsia="微软雅黑"/>
          <w:color w:val="000000"/>
          <w:szCs w:val="21"/>
        </w:rPr>
        <w:t>18</w:t>
      </w:r>
      <w:r>
        <w:rPr>
          <w:rFonts w:hint="eastAsia" w:ascii="微软雅黑" w:hAnsi="微软雅黑" w:eastAsia="微软雅黑"/>
          <w:color w:val="000000"/>
          <w:szCs w:val="21"/>
        </w:rPr>
        <w:t xml:space="preserve">  2017年毕业生回原籍工作比例分布</w:t>
      </w:r>
    </w:p>
    <w:p>
      <w:pPr>
        <w:spacing w:line="360" w:lineRule="auto"/>
        <w:jc w:val="center"/>
        <w:rPr>
          <w:rFonts w:hint="eastAsia" w:ascii="微软雅黑" w:hAnsi="微软雅黑" w:eastAsia="微软雅黑"/>
          <w:color w:val="000000"/>
          <w:szCs w:val="21"/>
        </w:rPr>
      </w:pPr>
    </w:p>
    <w:p>
      <w:pPr>
        <w:pStyle w:val="24"/>
        <w:numPr>
          <w:ilvl w:val="0"/>
          <w:numId w:val="10"/>
        </w:numPr>
        <w:spacing w:line="360" w:lineRule="auto"/>
        <w:ind w:firstLineChars="0"/>
        <w:rPr>
          <w:rFonts w:ascii="微软雅黑" w:hAnsi="微软雅黑" w:eastAsia="微软雅黑"/>
          <w:color w:val="000000"/>
          <w:szCs w:val="21"/>
        </w:rPr>
      </w:pPr>
      <w:r>
        <w:rPr>
          <w:rFonts w:hint="eastAsia" w:ascii="微软雅黑" w:hAnsi="微软雅黑" w:eastAsia="微软雅黑"/>
          <w:color w:val="000000"/>
          <w:sz w:val="24"/>
          <w:szCs w:val="24"/>
        </w:rPr>
        <w:t>安徽籍毕业生回家乡比例分布</w:t>
      </w:r>
    </w:p>
    <w:p>
      <w:pPr>
        <w:pStyle w:val="24"/>
        <w:spacing w:line="360" w:lineRule="auto"/>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017</w:t>
      </w:r>
      <w:r>
        <w:rPr>
          <w:rFonts w:hint="eastAsia" w:ascii="微软雅黑" w:hAnsi="微软雅黑" w:eastAsia="微软雅黑"/>
        </w:rPr>
        <w:t>年学院毕业生安徽籍回家乡工作城市分布如图1</w:t>
      </w:r>
      <w:r>
        <w:rPr>
          <w:rFonts w:ascii="微软雅黑" w:hAnsi="微软雅黑" w:eastAsia="微软雅黑"/>
        </w:rPr>
        <w:t>-19</w:t>
      </w:r>
      <w:r>
        <w:rPr>
          <w:rFonts w:hint="eastAsia" w:ascii="微软雅黑" w:hAnsi="微软雅黑" w:eastAsia="微软雅黑"/>
        </w:rPr>
        <w:t>，合肥市生源的毕业生回去的最多达到7</w:t>
      </w:r>
      <w:r>
        <w:rPr>
          <w:rFonts w:ascii="微软雅黑" w:hAnsi="微软雅黑" w:eastAsia="微软雅黑"/>
        </w:rPr>
        <w:t>8.21%</w:t>
      </w:r>
      <w:r>
        <w:rPr>
          <w:rFonts w:hint="eastAsia" w:ascii="微软雅黑" w:hAnsi="微软雅黑" w:eastAsia="微软雅黑"/>
        </w:rPr>
        <w:t>，其次马鞍山市生源的毕业生回家乡工作的达到6</w:t>
      </w:r>
      <w:r>
        <w:rPr>
          <w:rFonts w:ascii="微软雅黑" w:hAnsi="微软雅黑" w:eastAsia="微软雅黑"/>
        </w:rPr>
        <w:t>2.50%</w:t>
      </w:r>
      <w:r>
        <w:rPr>
          <w:rFonts w:hint="eastAsia" w:ascii="微软雅黑" w:hAnsi="微软雅黑" w:eastAsia="微软雅黑"/>
        </w:rPr>
        <w:t>位居第二，再次芜湖市有4</w:t>
      </w:r>
      <w:r>
        <w:rPr>
          <w:rFonts w:ascii="微软雅黑" w:hAnsi="微软雅黑" w:eastAsia="微软雅黑"/>
        </w:rPr>
        <w:t>4.44%</w:t>
      </w:r>
      <w:r>
        <w:rPr>
          <w:rFonts w:hint="eastAsia" w:ascii="微软雅黑" w:hAnsi="微软雅黑" w:eastAsia="微软雅黑"/>
        </w:rPr>
        <w:t>的毕业生回去工作。</w:t>
      </w:r>
    </w:p>
    <w:p>
      <w:pPr>
        <w:pStyle w:val="24"/>
        <w:spacing w:line="360" w:lineRule="auto"/>
        <w:jc w:val="center"/>
        <w:rPr>
          <w:rFonts w:ascii="微软雅黑" w:hAnsi="微软雅黑" w:eastAsia="微软雅黑"/>
        </w:rPr>
      </w:pPr>
    </w:p>
    <w:p>
      <w:pPr>
        <w:pStyle w:val="24"/>
        <w:spacing w:line="360" w:lineRule="auto"/>
        <w:ind w:left="0" w:leftChars="0" w:firstLine="0" w:firstLineChars="0"/>
        <w:jc w:val="both"/>
        <w:rPr>
          <w:rFonts w:ascii="微软雅黑" w:hAnsi="微软雅黑" w:eastAsia="微软雅黑"/>
        </w:rPr>
      </w:pPr>
      <w:r>
        <w:drawing>
          <wp:inline distT="0" distB="0" distL="114300" distR="114300">
            <wp:extent cx="5768975" cy="2962910"/>
            <wp:effectExtent l="4445" t="4445" r="17780" b="23495"/>
            <wp:docPr id="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line="360" w:lineRule="auto"/>
        <w:jc w:val="center"/>
        <w:rPr>
          <w:rFonts w:ascii="微软雅黑" w:hAnsi="微软雅黑" w:eastAsia="微软雅黑"/>
          <w:color w:val="000000"/>
          <w:szCs w:val="21"/>
        </w:rPr>
      </w:pPr>
      <w:r>
        <w:rPr>
          <w:rFonts w:hint="eastAsia" w:ascii="微软雅黑" w:hAnsi="微软雅黑" w:eastAsia="微软雅黑"/>
          <w:color w:val="000000"/>
          <w:szCs w:val="21"/>
        </w:rPr>
        <w:t>图1-</w:t>
      </w:r>
      <w:r>
        <w:rPr>
          <w:rFonts w:ascii="微软雅黑" w:hAnsi="微软雅黑" w:eastAsia="微软雅黑"/>
          <w:color w:val="000000"/>
          <w:szCs w:val="21"/>
        </w:rPr>
        <w:t>19</w:t>
      </w:r>
      <w:r>
        <w:rPr>
          <w:rFonts w:hint="eastAsia" w:ascii="微软雅黑" w:hAnsi="微软雅黑" w:eastAsia="微软雅黑"/>
          <w:color w:val="000000"/>
          <w:szCs w:val="21"/>
        </w:rPr>
        <w:t xml:space="preserve">  2017年安徽籍毕业生回家乡工作比例分布</w:t>
      </w:r>
    </w:p>
    <w:p>
      <w:pPr>
        <w:pStyle w:val="24"/>
        <w:spacing w:line="360" w:lineRule="auto"/>
        <w:jc w:val="center"/>
        <w:rPr>
          <w:rFonts w:hint="eastAsia" w:ascii="微软雅黑" w:hAnsi="微软雅黑" w:eastAsia="微软雅黑"/>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100" w:after="0" w:afterLines="100" w:line="360" w:lineRule="auto"/>
        <w:ind w:left="1083" w:leftChars="0" w:right="0" w:rightChars="0" w:hanging="1083" w:firstLineChars="0"/>
        <w:jc w:val="center"/>
        <w:textAlignment w:val="auto"/>
        <w:outlineLvl w:val="0"/>
        <w:rPr>
          <w:rFonts w:hint="eastAsia" w:ascii="微软雅黑" w:hAnsi="微软雅黑" w:eastAsia="微软雅黑" w:cs="微软雅黑"/>
          <w:b w:val="0"/>
          <w:bCs w:val="0"/>
          <w:sz w:val="30"/>
          <w:szCs w:val="30"/>
          <w:lang w:val="en-US" w:eastAsia="zh-CN"/>
        </w:rPr>
      </w:pPr>
      <w:bookmarkStart w:id="17" w:name="_Toc11008"/>
      <w:bookmarkStart w:id="18" w:name="_Toc21851"/>
      <w:bookmarkStart w:id="19" w:name="_Toc21408"/>
      <w:bookmarkStart w:id="20" w:name="_Toc13237"/>
      <w:r>
        <w:rPr>
          <w:rFonts w:hint="eastAsia" w:ascii="微软雅黑" w:hAnsi="微软雅黑" w:eastAsia="微软雅黑" w:cs="微软雅黑"/>
          <w:b w:val="0"/>
          <w:bCs w:val="0"/>
          <w:sz w:val="30"/>
          <w:szCs w:val="30"/>
          <w:lang w:val="en-US" w:eastAsia="zh-CN"/>
        </w:rPr>
        <w:t>求职分析</w:t>
      </w:r>
      <w:bookmarkEnd w:id="17"/>
      <w:bookmarkEnd w:id="18"/>
      <w:bookmarkEnd w:id="19"/>
      <w:bookmarkEnd w:id="20"/>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2017届毕业生离校后，经对221名毕业生所做的调查显示（被调查毕业生数占毕业生人数的306%）：毕业生就业岗位与专业的对口率较高，完全对口或比较对口的比例达80.06%，一般对口的占15.35%；毕业生对签约单位很满意和比较满意的占70.82%，一般满意的占26.62%。。</w:t>
      </w:r>
    </w:p>
    <w:p>
      <w:pPr>
        <w:pStyle w:val="24"/>
        <w:spacing w:line="360" w:lineRule="auto"/>
        <w:rPr>
          <w:rFonts w:hint="eastAsia" w:ascii="微软雅黑" w:hAnsi="微软雅黑" w:eastAsia="微软雅黑"/>
          <w:sz w:val="21"/>
          <w:szCs w:val="22"/>
          <w:lang w:val="en-US" w:eastAsia="zh-CN"/>
        </w:rPr>
      </w:pPr>
      <w:bookmarkStart w:id="21" w:name="_Toc16868"/>
      <w:bookmarkStart w:id="22" w:name="_Toc6685"/>
      <w:bookmarkStart w:id="23" w:name="_Toc24040"/>
      <w:bookmarkStart w:id="24" w:name="_Toc20624"/>
      <w:bookmarkStart w:id="25" w:name="_Toc255"/>
      <w:bookmarkStart w:id="26" w:name="_Toc23932"/>
      <w:bookmarkStart w:id="27" w:name="_Toc22034"/>
      <w:bookmarkStart w:id="28" w:name="_Toc30919"/>
      <w:bookmarkStart w:id="29" w:name="_Toc25668"/>
      <w:bookmarkStart w:id="30" w:name="_Toc22688"/>
      <w:r>
        <w:rPr>
          <w:rFonts w:hint="eastAsia" w:ascii="微软雅黑" w:hAnsi="微软雅黑" w:eastAsia="微软雅黑"/>
          <w:sz w:val="21"/>
          <w:szCs w:val="22"/>
          <w:lang w:val="en-US" w:eastAsia="zh-CN"/>
        </w:rPr>
        <w:t>职业决策选择要素分析</w:t>
      </w:r>
      <w:bookmarkEnd w:id="21"/>
      <w:bookmarkEnd w:id="22"/>
      <w:bookmarkEnd w:id="23"/>
      <w:bookmarkEnd w:id="24"/>
      <w:bookmarkEnd w:id="25"/>
      <w:bookmarkEnd w:id="26"/>
      <w:bookmarkEnd w:id="27"/>
      <w:bookmarkEnd w:id="28"/>
      <w:bookmarkEnd w:id="29"/>
      <w:bookmarkEnd w:id="30"/>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毕业生在职业选择时，选择要素主要从以下8个方面进行优先的排序，每人可选择3个项目，根据自己的最佳意愿进行排序。从调查结果可知，毕业生对自身的职业发展比较看重，其中个人发展前景有75.21%的毕业生选择，67.32%的毕业生将单位地理位置放在首位，只有15.06%的毕业生将工作舒适度和劳动强度放在首位。</w:t>
      </w:r>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我校毕业生职业决策选择要素分析详见表3-1</w:t>
      </w:r>
    </w:p>
    <w:p>
      <w:pPr>
        <w:pStyle w:val="24"/>
        <w:spacing w:line="360" w:lineRule="auto"/>
        <w:rPr>
          <w:rFonts w:hint="eastAsia" w:ascii="微软雅黑" w:hAnsi="微软雅黑" w:eastAsia="微软雅黑"/>
          <w:sz w:val="21"/>
          <w:szCs w:val="22"/>
        </w:rPr>
      </w:pPr>
      <w:r>
        <w:rPr>
          <w:rFonts w:hint="eastAsia" w:ascii="微软雅黑" w:hAnsi="微软雅黑" w:eastAsia="微软雅黑"/>
          <w:sz w:val="21"/>
          <w:szCs w:val="22"/>
        </w:rPr>
        <w:t>表</w:t>
      </w:r>
      <w:r>
        <w:rPr>
          <w:rFonts w:hint="eastAsia" w:ascii="微软雅黑" w:hAnsi="微软雅黑" w:eastAsia="微软雅黑"/>
          <w:sz w:val="21"/>
          <w:szCs w:val="22"/>
          <w:lang w:val="en-US" w:eastAsia="zh-CN"/>
        </w:rPr>
        <w:t>8-</w:t>
      </w:r>
      <w:r>
        <w:rPr>
          <w:rFonts w:hint="eastAsia" w:ascii="微软雅黑" w:hAnsi="微软雅黑" w:eastAsia="微软雅黑"/>
          <w:sz w:val="21"/>
          <w:szCs w:val="22"/>
        </w:rPr>
        <w:t>1我校毕业生职业决策选择要素分析</w:t>
      </w:r>
    </w:p>
    <w:tbl>
      <w:tblPr>
        <w:tblStyle w:val="16"/>
        <w:tblW w:w="8095"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580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序号</w:t>
            </w:r>
          </w:p>
        </w:tc>
        <w:tc>
          <w:tcPr>
            <w:tcW w:w="580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职业抉择要素</w:t>
            </w:r>
          </w:p>
        </w:tc>
        <w:tc>
          <w:tcPr>
            <w:tcW w:w="1659"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2017</w:t>
            </w:r>
            <w:r>
              <w:rPr>
                <w:rFonts w:hint="eastAsia" w:ascii="微软雅黑" w:hAnsi="微软雅黑" w:eastAsia="微软雅黑"/>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1</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单位地理位置</w:t>
            </w:r>
          </w:p>
        </w:tc>
        <w:tc>
          <w:tcPr>
            <w:tcW w:w="1659"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67.32%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2</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工作稳定性</w:t>
            </w:r>
          </w:p>
        </w:tc>
        <w:tc>
          <w:tcPr>
            <w:tcW w:w="1659"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49.59%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3</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薪酬福利</w:t>
            </w:r>
          </w:p>
        </w:tc>
        <w:tc>
          <w:tcPr>
            <w:tcW w:w="1659"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50.73%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4</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个人发展前景</w:t>
            </w:r>
          </w:p>
        </w:tc>
        <w:tc>
          <w:tcPr>
            <w:tcW w:w="1659"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75.21%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5</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符合自己的兴趣爱好</w:t>
            </w:r>
          </w:p>
        </w:tc>
        <w:tc>
          <w:tcPr>
            <w:tcW w:w="1659"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6</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符合家庭期望</w:t>
            </w:r>
          </w:p>
        </w:tc>
        <w:tc>
          <w:tcPr>
            <w:tcW w:w="1659"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7</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工作单位性质和声誉</w:t>
            </w:r>
          </w:p>
        </w:tc>
        <w:tc>
          <w:tcPr>
            <w:tcW w:w="1659"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38.21%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8</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lang w:val="en-US" w:eastAsia="zh-CN"/>
              </w:rPr>
            </w:pPr>
            <w:r>
              <w:rPr>
                <w:rFonts w:hint="eastAsia" w:ascii="微软雅黑" w:hAnsi="微软雅黑" w:eastAsia="微软雅黑"/>
                <w:lang w:val="en-US" w:eastAsia="zh-CN"/>
              </w:rPr>
              <w:t>工作舒适度和劳动强度</w:t>
            </w:r>
          </w:p>
        </w:tc>
        <w:tc>
          <w:tcPr>
            <w:tcW w:w="1659"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15.06%</w:t>
            </w:r>
          </w:p>
        </w:tc>
      </w:tr>
    </w:tbl>
    <w:p>
      <w:pPr>
        <w:pStyle w:val="24"/>
        <w:spacing w:line="360" w:lineRule="auto"/>
        <w:rPr>
          <w:rFonts w:hint="eastAsia" w:ascii="微软雅黑" w:hAnsi="微软雅黑" w:eastAsia="微软雅黑"/>
          <w:sz w:val="21"/>
          <w:szCs w:val="22"/>
          <w:lang w:val="en-US" w:eastAsia="zh-CN"/>
        </w:rPr>
      </w:pPr>
      <w:bookmarkStart w:id="31" w:name="_Toc1716"/>
      <w:bookmarkStart w:id="32" w:name="_Toc11508"/>
      <w:bookmarkStart w:id="33" w:name="_Toc10233"/>
      <w:bookmarkStart w:id="34" w:name="_Toc5705"/>
      <w:bookmarkStart w:id="35" w:name="_Toc3110"/>
      <w:bookmarkStart w:id="36" w:name="_Toc18103"/>
      <w:bookmarkStart w:id="37" w:name="_Toc5637"/>
      <w:bookmarkStart w:id="38" w:name="_Toc1040"/>
      <w:bookmarkStart w:id="39" w:name="_Toc24248"/>
      <w:bookmarkStart w:id="40" w:name="_Toc23853"/>
      <w:r>
        <w:rPr>
          <w:rFonts w:hint="eastAsia" w:ascii="微软雅黑" w:hAnsi="微软雅黑" w:eastAsia="微软雅黑"/>
          <w:sz w:val="21"/>
          <w:szCs w:val="22"/>
          <w:lang w:val="en-US" w:eastAsia="zh-CN"/>
        </w:rPr>
        <w:t>求职渠道分析</w:t>
      </w:r>
      <w:bookmarkEnd w:id="31"/>
      <w:bookmarkEnd w:id="32"/>
      <w:bookmarkEnd w:id="33"/>
      <w:bookmarkEnd w:id="34"/>
      <w:bookmarkEnd w:id="35"/>
      <w:bookmarkEnd w:id="36"/>
      <w:bookmarkEnd w:id="37"/>
      <w:bookmarkEnd w:id="38"/>
      <w:bookmarkEnd w:id="39"/>
      <w:bookmarkEnd w:id="40"/>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在毕业生的求职渠道中来自学校的组织的超六成以上占67%，其中学校或系部组织的招聘会占35.22%，学校就业网发布的就职信息占31.76%。</w:t>
      </w:r>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我校毕业生求职渠道分析详见表3-2</w:t>
      </w:r>
    </w:p>
    <w:p>
      <w:pPr>
        <w:pStyle w:val="24"/>
        <w:spacing w:line="360" w:lineRule="auto"/>
        <w:ind w:left="0" w:leftChars="0" w:firstLine="0" w:firstLineChars="0"/>
        <w:jc w:val="both"/>
        <w:rPr>
          <w:rFonts w:hint="eastAsia" w:ascii="微软雅黑" w:hAnsi="微软雅黑" w:eastAsia="微软雅黑"/>
          <w:lang w:val="en-US" w:eastAsia="zh-CN"/>
        </w:rPr>
      </w:pPr>
    </w:p>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表</w:t>
      </w:r>
      <w:r>
        <w:rPr>
          <w:rFonts w:hint="eastAsia" w:ascii="微软雅黑" w:hAnsi="微软雅黑" w:eastAsia="微软雅黑"/>
          <w:lang w:val="en-US" w:eastAsia="zh-CN"/>
        </w:rPr>
        <w:t>3-</w:t>
      </w:r>
      <w:r>
        <w:rPr>
          <w:rFonts w:hint="eastAsia" w:ascii="微软雅黑" w:hAnsi="微软雅黑" w:eastAsia="微软雅黑"/>
        </w:rPr>
        <w:t>2我校毕业生求职渠道分析</w:t>
      </w:r>
    </w:p>
    <w:tbl>
      <w:tblPr>
        <w:tblStyle w:val="16"/>
        <w:tblW w:w="8083"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5808"/>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序号</w:t>
            </w:r>
          </w:p>
        </w:tc>
        <w:tc>
          <w:tcPr>
            <w:tcW w:w="580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求职渠道</w:t>
            </w:r>
          </w:p>
        </w:tc>
        <w:tc>
          <w:tcPr>
            <w:tcW w:w="1647"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2017</w:t>
            </w:r>
            <w:r>
              <w:rPr>
                <w:rFonts w:hint="eastAsia" w:ascii="微软雅黑" w:hAnsi="微软雅黑" w:eastAsia="微软雅黑"/>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1</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学校或</w:t>
            </w:r>
            <w:r>
              <w:rPr>
                <w:rFonts w:hint="eastAsia" w:ascii="微软雅黑" w:hAnsi="微软雅黑" w:eastAsia="微软雅黑"/>
                <w:lang w:val="en-US" w:eastAsia="zh-CN"/>
              </w:rPr>
              <w:t>系部</w:t>
            </w:r>
            <w:r>
              <w:rPr>
                <w:rFonts w:hint="eastAsia" w:ascii="微软雅黑" w:hAnsi="微软雅黑" w:eastAsia="微软雅黑"/>
              </w:rPr>
              <w:t>组织的招聘会</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35.22%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2</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学校就业网发布的求职信息</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31.76%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3</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参加社会人才市场</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4</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自己在校外寻找</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5</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朋友、亲人介绍</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6</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其他</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1.04%</w:t>
            </w:r>
          </w:p>
        </w:tc>
      </w:tr>
    </w:tbl>
    <w:p>
      <w:pPr>
        <w:pStyle w:val="24"/>
        <w:spacing w:line="360" w:lineRule="auto"/>
        <w:rPr>
          <w:rFonts w:hint="eastAsia" w:ascii="微软雅黑" w:hAnsi="微软雅黑" w:eastAsia="微软雅黑"/>
          <w:sz w:val="21"/>
          <w:szCs w:val="22"/>
          <w:lang w:val="en-US" w:eastAsia="zh-CN"/>
        </w:rPr>
      </w:pPr>
      <w:bookmarkStart w:id="41" w:name="_Toc32151"/>
      <w:bookmarkStart w:id="42" w:name="_Toc25945"/>
      <w:bookmarkStart w:id="43" w:name="_Toc17781"/>
      <w:bookmarkStart w:id="44" w:name="_Toc6810"/>
      <w:bookmarkStart w:id="45" w:name="_Toc14511"/>
      <w:bookmarkStart w:id="46" w:name="_Toc6232"/>
      <w:bookmarkStart w:id="47" w:name="_Toc5467"/>
      <w:bookmarkStart w:id="48" w:name="_Toc15962"/>
      <w:bookmarkStart w:id="49" w:name="_Toc12405"/>
      <w:bookmarkStart w:id="50" w:name="_Toc20269"/>
      <w:r>
        <w:rPr>
          <w:rFonts w:hint="eastAsia" w:ascii="微软雅黑" w:hAnsi="微软雅黑" w:eastAsia="微软雅黑"/>
          <w:sz w:val="21"/>
          <w:szCs w:val="22"/>
          <w:lang w:val="en-US" w:eastAsia="zh-CN"/>
        </w:rPr>
        <w:t>薪资范围分析</w:t>
      </w:r>
      <w:bookmarkEnd w:id="41"/>
      <w:bookmarkEnd w:id="42"/>
      <w:bookmarkEnd w:id="43"/>
      <w:bookmarkEnd w:id="44"/>
      <w:bookmarkEnd w:id="45"/>
      <w:bookmarkEnd w:id="46"/>
      <w:bookmarkEnd w:id="47"/>
      <w:bookmarkEnd w:id="48"/>
      <w:bookmarkEnd w:id="49"/>
      <w:bookmarkEnd w:id="50"/>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毕业生的薪资在中档3000元-4000元的比例较大。</w:t>
      </w:r>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我校毕业生薪资范围统计详见表3-3</w:t>
      </w:r>
    </w:p>
    <w:p>
      <w:pPr>
        <w:pStyle w:val="24"/>
        <w:spacing w:line="360" w:lineRule="auto"/>
        <w:rPr>
          <w:rFonts w:hint="eastAsia" w:ascii="微软雅黑" w:hAnsi="微软雅黑" w:eastAsia="微软雅黑"/>
          <w:sz w:val="21"/>
          <w:szCs w:val="22"/>
        </w:rPr>
      </w:pPr>
      <w:r>
        <w:rPr>
          <w:rFonts w:hint="eastAsia" w:ascii="微软雅黑" w:hAnsi="微软雅黑" w:eastAsia="微软雅黑"/>
          <w:sz w:val="21"/>
          <w:szCs w:val="22"/>
        </w:rPr>
        <w:t>表</w:t>
      </w:r>
      <w:r>
        <w:rPr>
          <w:rFonts w:hint="eastAsia" w:ascii="微软雅黑" w:hAnsi="微软雅黑" w:eastAsia="微软雅黑"/>
          <w:sz w:val="21"/>
          <w:szCs w:val="22"/>
          <w:lang w:val="en-US" w:eastAsia="zh-CN"/>
        </w:rPr>
        <w:t>3-</w:t>
      </w:r>
      <w:r>
        <w:rPr>
          <w:rFonts w:hint="eastAsia" w:ascii="微软雅黑" w:hAnsi="微软雅黑" w:eastAsia="微软雅黑"/>
          <w:sz w:val="21"/>
          <w:szCs w:val="22"/>
        </w:rPr>
        <w:t>3我校毕业生薪资范围统计</w:t>
      </w:r>
    </w:p>
    <w:tbl>
      <w:tblPr>
        <w:tblStyle w:val="16"/>
        <w:tblW w:w="8083"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5808"/>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序号</w:t>
            </w:r>
          </w:p>
        </w:tc>
        <w:tc>
          <w:tcPr>
            <w:tcW w:w="580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薪资范围</w:t>
            </w:r>
          </w:p>
        </w:tc>
        <w:tc>
          <w:tcPr>
            <w:tcW w:w="1647"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2017</w:t>
            </w:r>
            <w:r>
              <w:rPr>
                <w:rFonts w:hint="eastAsia" w:ascii="微软雅黑" w:hAnsi="微软雅黑" w:eastAsia="微软雅黑"/>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1</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2000</w:t>
            </w:r>
            <w:r>
              <w:rPr>
                <w:rFonts w:hint="eastAsia" w:ascii="微软雅黑" w:hAnsi="微软雅黑" w:eastAsia="微软雅黑"/>
                <w:lang w:val="en-US" w:eastAsia="zh-CN"/>
              </w:rPr>
              <w:t>以下</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2</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2000元-3000元</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3</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3000元-4000元</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4</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4000元-5000元</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5</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5000元以上</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5.12%</w:t>
            </w:r>
          </w:p>
        </w:tc>
      </w:tr>
    </w:tbl>
    <w:p>
      <w:pPr>
        <w:pStyle w:val="24"/>
        <w:spacing w:line="360" w:lineRule="auto"/>
        <w:ind w:left="0" w:leftChars="0" w:firstLine="0" w:firstLineChars="0"/>
        <w:jc w:val="both"/>
        <w:rPr>
          <w:rFonts w:hint="eastAsia" w:ascii="微软雅黑" w:hAnsi="微软雅黑" w:eastAsia="微软雅黑"/>
        </w:rPr>
      </w:pPr>
    </w:p>
    <w:p>
      <w:pPr>
        <w:pStyle w:val="24"/>
        <w:spacing w:line="360" w:lineRule="auto"/>
        <w:rPr>
          <w:rFonts w:hint="eastAsia" w:ascii="微软雅黑" w:hAnsi="微软雅黑" w:eastAsia="微软雅黑"/>
          <w:sz w:val="21"/>
          <w:szCs w:val="22"/>
          <w:lang w:val="en-US" w:eastAsia="zh-CN"/>
        </w:rPr>
      </w:pPr>
      <w:bookmarkStart w:id="51" w:name="_Toc30132"/>
      <w:bookmarkStart w:id="52" w:name="_Toc27956"/>
      <w:bookmarkStart w:id="53" w:name="_Toc10562"/>
      <w:bookmarkStart w:id="54" w:name="_Toc9733"/>
      <w:bookmarkStart w:id="55" w:name="_Toc18041"/>
      <w:bookmarkStart w:id="56" w:name="_Toc28314"/>
      <w:bookmarkStart w:id="57" w:name="_Toc10658"/>
      <w:bookmarkStart w:id="58" w:name="_Toc26886"/>
      <w:bookmarkStart w:id="59" w:name="_Toc7396"/>
      <w:bookmarkStart w:id="60" w:name="_Toc9404"/>
      <w:r>
        <w:rPr>
          <w:rFonts w:hint="eastAsia" w:ascii="微软雅黑" w:hAnsi="微软雅黑" w:eastAsia="微软雅黑"/>
          <w:sz w:val="21"/>
          <w:szCs w:val="22"/>
          <w:lang w:val="en-US" w:eastAsia="zh-CN"/>
        </w:rPr>
        <w:t>择业成功的主要原因</w:t>
      </w:r>
      <w:bookmarkEnd w:id="51"/>
      <w:bookmarkEnd w:id="52"/>
      <w:bookmarkEnd w:id="53"/>
      <w:bookmarkEnd w:id="54"/>
      <w:bookmarkEnd w:id="55"/>
      <w:bookmarkEnd w:id="56"/>
      <w:bookmarkEnd w:id="57"/>
      <w:bookmarkEnd w:id="58"/>
      <w:r>
        <w:rPr>
          <w:rFonts w:hint="eastAsia" w:ascii="微软雅黑" w:hAnsi="微软雅黑" w:eastAsia="微软雅黑"/>
          <w:sz w:val="21"/>
          <w:szCs w:val="22"/>
          <w:lang w:val="en-US" w:eastAsia="zh-CN"/>
        </w:rPr>
        <w:t>分析</w:t>
      </w:r>
      <w:bookmarkEnd w:id="59"/>
      <w:bookmarkEnd w:id="60"/>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 xml:space="preserve">    我校毕业生择业成功原因分析详见表3-4</w:t>
      </w:r>
    </w:p>
    <w:p>
      <w:pPr>
        <w:pStyle w:val="24"/>
        <w:spacing w:line="360" w:lineRule="auto"/>
        <w:rPr>
          <w:rFonts w:hint="eastAsia" w:ascii="微软雅黑" w:hAnsi="微软雅黑" w:eastAsia="微软雅黑"/>
          <w:sz w:val="21"/>
          <w:szCs w:val="22"/>
        </w:rPr>
      </w:pPr>
      <w:r>
        <w:rPr>
          <w:rFonts w:hint="eastAsia" w:ascii="微软雅黑" w:hAnsi="微软雅黑" w:eastAsia="微软雅黑"/>
          <w:sz w:val="21"/>
          <w:szCs w:val="22"/>
        </w:rPr>
        <w:t>表</w:t>
      </w:r>
      <w:r>
        <w:rPr>
          <w:rFonts w:hint="eastAsia" w:ascii="微软雅黑" w:hAnsi="微软雅黑" w:eastAsia="微软雅黑"/>
          <w:sz w:val="21"/>
          <w:szCs w:val="22"/>
          <w:lang w:val="en-US" w:eastAsia="zh-CN"/>
        </w:rPr>
        <w:t>3-</w:t>
      </w:r>
      <w:r>
        <w:rPr>
          <w:rFonts w:hint="eastAsia" w:ascii="微软雅黑" w:hAnsi="微软雅黑" w:eastAsia="微软雅黑"/>
          <w:sz w:val="21"/>
          <w:szCs w:val="22"/>
        </w:rPr>
        <w:t>4我校毕业生择业成功原因分析</w:t>
      </w:r>
    </w:p>
    <w:tbl>
      <w:tblPr>
        <w:tblStyle w:val="16"/>
        <w:tblW w:w="8083"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5808"/>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序号</w:t>
            </w:r>
          </w:p>
        </w:tc>
        <w:tc>
          <w:tcPr>
            <w:tcW w:w="580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成功原因</w:t>
            </w:r>
          </w:p>
        </w:tc>
        <w:tc>
          <w:tcPr>
            <w:tcW w:w="1647"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2017</w:t>
            </w:r>
            <w:r>
              <w:rPr>
                <w:rFonts w:hint="eastAsia" w:ascii="微软雅黑" w:hAnsi="微软雅黑" w:eastAsia="微软雅黑"/>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1</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学习成绩突出</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2</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综合素质强</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3</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担任社会工作的经历</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4</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自我推荐的能力强</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5</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学校就业工作的效果好</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6</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对用人单位了解</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7</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选择了合适的择业标准</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7.52%</w:t>
            </w:r>
          </w:p>
        </w:tc>
      </w:tr>
    </w:tbl>
    <w:p>
      <w:pPr>
        <w:pStyle w:val="24"/>
        <w:spacing w:line="360" w:lineRule="auto"/>
        <w:rPr>
          <w:rFonts w:hint="eastAsia" w:ascii="微软雅黑" w:hAnsi="微软雅黑" w:eastAsia="微软雅黑"/>
          <w:sz w:val="21"/>
          <w:szCs w:val="22"/>
          <w:lang w:val="en-US" w:eastAsia="zh-CN"/>
        </w:rPr>
      </w:pPr>
      <w:bookmarkStart w:id="61" w:name="_Toc1525"/>
      <w:bookmarkStart w:id="62" w:name="_Toc29748"/>
      <w:bookmarkStart w:id="63" w:name="_Toc16674"/>
      <w:bookmarkStart w:id="64" w:name="_Toc16858"/>
      <w:bookmarkStart w:id="65" w:name="_Toc22071"/>
      <w:bookmarkStart w:id="66" w:name="_Toc27738"/>
      <w:r>
        <w:rPr>
          <w:rFonts w:hint="eastAsia" w:ascii="微软雅黑" w:hAnsi="微软雅黑" w:eastAsia="微软雅黑"/>
          <w:sz w:val="21"/>
          <w:szCs w:val="22"/>
          <w:lang w:val="en-US" w:eastAsia="zh-CN"/>
        </w:rPr>
        <w:t>求职过程中最需要提高的能力</w:t>
      </w:r>
      <w:bookmarkEnd w:id="61"/>
      <w:bookmarkEnd w:id="62"/>
      <w:bookmarkEnd w:id="63"/>
      <w:bookmarkEnd w:id="64"/>
      <w:r>
        <w:rPr>
          <w:rFonts w:hint="eastAsia" w:ascii="微软雅黑" w:hAnsi="微软雅黑" w:eastAsia="微软雅黑"/>
          <w:sz w:val="21"/>
          <w:szCs w:val="22"/>
          <w:lang w:val="en-US" w:eastAsia="zh-CN"/>
        </w:rPr>
        <w:t>分析</w:t>
      </w:r>
      <w:bookmarkEnd w:id="65"/>
      <w:bookmarkEnd w:id="66"/>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 xml:space="preserve">     我校毕业生求职中需提高的能力分析详见表3-5</w:t>
      </w:r>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表3-5我校毕业生求职中需提高的能力分析</w:t>
      </w:r>
    </w:p>
    <w:tbl>
      <w:tblPr>
        <w:tblStyle w:val="16"/>
        <w:tblW w:w="8071"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5796"/>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序号</w:t>
            </w:r>
          </w:p>
        </w:tc>
        <w:tc>
          <w:tcPr>
            <w:tcW w:w="5796"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能力需求</w:t>
            </w:r>
          </w:p>
        </w:tc>
        <w:tc>
          <w:tcPr>
            <w:tcW w:w="1647"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2017</w:t>
            </w:r>
            <w:r>
              <w:rPr>
                <w:rFonts w:hint="eastAsia" w:ascii="微软雅黑" w:hAnsi="微软雅黑" w:eastAsia="微软雅黑"/>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1</w:t>
            </w:r>
          </w:p>
        </w:tc>
        <w:tc>
          <w:tcPr>
            <w:tcW w:w="5796"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专业知识</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2</w:t>
            </w:r>
          </w:p>
        </w:tc>
        <w:tc>
          <w:tcPr>
            <w:tcW w:w="5796"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实践动手能力</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46.92%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3</w:t>
            </w:r>
          </w:p>
        </w:tc>
        <w:tc>
          <w:tcPr>
            <w:tcW w:w="5796"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人际交往能力</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4</w:t>
            </w:r>
          </w:p>
        </w:tc>
        <w:tc>
          <w:tcPr>
            <w:tcW w:w="5796"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语言表达能力</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5</w:t>
            </w:r>
          </w:p>
        </w:tc>
        <w:tc>
          <w:tcPr>
            <w:tcW w:w="5796"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文字能力</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6</w:t>
            </w:r>
          </w:p>
        </w:tc>
        <w:tc>
          <w:tcPr>
            <w:tcW w:w="5796"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外语、计算机能力</w:t>
            </w:r>
          </w:p>
        </w:tc>
        <w:tc>
          <w:tcPr>
            <w:tcW w:w="1647"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0.86%</w:t>
            </w:r>
          </w:p>
        </w:tc>
      </w:tr>
    </w:tbl>
    <w:p>
      <w:pPr>
        <w:pStyle w:val="24"/>
        <w:spacing w:line="360" w:lineRule="auto"/>
        <w:rPr>
          <w:rFonts w:hint="eastAsia" w:ascii="微软雅黑" w:hAnsi="微软雅黑" w:eastAsia="微软雅黑"/>
          <w:sz w:val="21"/>
          <w:szCs w:val="22"/>
          <w:lang w:val="en-US" w:eastAsia="zh-CN"/>
        </w:rPr>
      </w:pPr>
      <w:bookmarkStart w:id="67" w:name="_Toc28263"/>
      <w:bookmarkStart w:id="68" w:name="_Toc3239"/>
      <w:bookmarkStart w:id="69" w:name="_Toc18511"/>
      <w:bookmarkStart w:id="70" w:name="_Toc22529"/>
      <w:bookmarkStart w:id="71" w:name="_Toc19064"/>
      <w:bookmarkStart w:id="72" w:name="_Toc12367"/>
      <w:r>
        <w:rPr>
          <w:rFonts w:hint="eastAsia" w:ascii="微软雅黑" w:hAnsi="微软雅黑" w:eastAsia="微软雅黑"/>
          <w:sz w:val="21"/>
          <w:szCs w:val="22"/>
          <w:lang w:val="en-US" w:eastAsia="zh-CN"/>
        </w:rPr>
        <w:t>就业指导与服务工作的重要</w:t>
      </w:r>
      <w:bookmarkEnd w:id="67"/>
      <w:bookmarkEnd w:id="68"/>
      <w:r>
        <w:rPr>
          <w:rFonts w:hint="eastAsia" w:ascii="微软雅黑" w:hAnsi="微软雅黑" w:eastAsia="微软雅黑"/>
          <w:sz w:val="21"/>
          <w:szCs w:val="22"/>
          <w:lang w:val="en-US" w:eastAsia="zh-CN"/>
        </w:rPr>
        <w:t>因素</w:t>
      </w:r>
      <w:bookmarkEnd w:id="69"/>
      <w:bookmarkEnd w:id="70"/>
      <w:r>
        <w:rPr>
          <w:rFonts w:hint="eastAsia" w:ascii="微软雅黑" w:hAnsi="微软雅黑" w:eastAsia="微软雅黑"/>
          <w:sz w:val="21"/>
          <w:szCs w:val="22"/>
          <w:lang w:val="en-US" w:eastAsia="zh-CN"/>
        </w:rPr>
        <w:t>分析</w:t>
      </w:r>
      <w:bookmarkEnd w:id="71"/>
      <w:bookmarkEnd w:id="72"/>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 xml:space="preserve">    我校毕业生在就业指导和服务工作中的重要因素分析详见表3-6</w:t>
      </w:r>
    </w:p>
    <w:p>
      <w:pPr>
        <w:pStyle w:val="24"/>
        <w:spacing w:line="360" w:lineRule="auto"/>
        <w:rPr>
          <w:rFonts w:hint="eastAsia" w:ascii="微软雅黑" w:hAnsi="微软雅黑" w:eastAsia="微软雅黑"/>
          <w:sz w:val="21"/>
          <w:szCs w:val="22"/>
          <w:lang w:val="en-US" w:eastAsia="zh-CN"/>
        </w:rPr>
      </w:pPr>
      <w:r>
        <w:rPr>
          <w:rFonts w:hint="eastAsia" w:ascii="微软雅黑" w:hAnsi="微软雅黑" w:eastAsia="微软雅黑"/>
          <w:sz w:val="21"/>
          <w:szCs w:val="22"/>
          <w:lang w:val="en-US" w:eastAsia="zh-CN"/>
        </w:rPr>
        <w:t>表3-6我校毕业生在就业指导和服务工作中的重要因素分析</w:t>
      </w:r>
    </w:p>
    <w:tbl>
      <w:tblPr>
        <w:tblStyle w:val="16"/>
        <w:tblW w:w="8071"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5808"/>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序号</w:t>
            </w:r>
          </w:p>
        </w:tc>
        <w:tc>
          <w:tcPr>
            <w:tcW w:w="5808"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lang w:eastAsia="zh-CN"/>
              </w:rPr>
            </w:pPr>
            <w:r>
              <w:rPr>
                <w:rFonts w:hint="eastAsia" w:ascii="微软雅黑" w:hAnsi="微软雅黑" w:eastAsia="微软雅黑"/>
                <w:lang w:eastAsia="zh-CN"/>
              </w:rPr>
              <w:t>就业指导与服务类别</w:t>
            </w:r>
          </w:p>
        </w:tc>
        <w:tc>
          <w:tcPr>
            <w:tcW w:w="1635" w:type="dxa"/>
            <w:shd w:val="clear" w:color="auto" w:fill="4F81BD"/>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2017</w:t>
            </w:r>
            <w:r>
              <w:rPr>
                <w:rFonts w:hint="eastAsia" w:ascii="微软雅黑" w:hAnsi="微软雅黑" w:eastAsia="微软雅黑"/>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1</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准确有效的就业信息</w:t>
            </w:r>
          </w:p>
        </w:tc>
        <w:tc>
          <w:tcPr>
            <w:tcW w:w="1635"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40.69%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2</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校园招聘会</w:t>
            </w:r>
          </w:p>
        </w:tc>
        <w:tc>
          <w:tcPr>
            <w:tcW w:w="1635"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29.88%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3</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专业和个性化的就业指导</w:t>
            </w:r>
          </w:p>
        </w:tc>
        <w:tc>
          <w:tcPr>
            <w:tcW w:w="1635"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4</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就业指导课</w:t>
            </w:r>
          </w:p>
        </w:tc>
        <w:tc>
          <w:tcPr>
            <w:tcW w:w="1635"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5</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从低年级考试进行职业规划教育</w:t>
            </w:r>
          </w:p>
        </w:tc>
        <w:tc>
          <w:tcPr>
            <w:tcW w:w="1635"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6</w:t>
            </w:r>
          </w:p>
        </w:tc>
        <w:tc>
          <w:tcPr>
            <w:tcW w:w="5808"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rPr>
              <w:t>进行创业指导</w:t>
            </w:r>
          </w:p>
        </w:tc>
        <w:tc>
          <w:tcPr>
            <w:tcW w:w="1635" w:type="dxa"/>
            <w:shd w:val="clear" w:color="auto" w:fill="FFFFFF"/>
            <w:vAlign w:val="center"/>
          </w:tcPr>
          <w:p>
            <w:pPr>
              <w:pStyle w:val="24"/>
              <w:spacing w:line="360" w:lineRule="auto"/>
              <w:ind w:left="0" w:leftChars="0" w:firstLine="0" w:firstLineChars="0"/>
              <w:jc w:val="both"/>
              <w:rPr>
                <w:rFonts w:hint="eastAsia" w:ascii="微软雅黑" w:hAnsi="微软雅黑" w:eastAsia="微软雅黑"/>
              </w:rPr>
            </w:pPr>
            <w:r>
              <w:rPr>
                <w:rFonts w:hint="eastAsia" w:ascii="微软雅黑" w:hAnsi="微软雅黑" w:eastAsia="微软雅黑"/>
                <w:lang w:val="en-US" w:eastAsia="zh-CN"/>
              </w:rPr>
              <w:t>3.79%</w:t>
            </w:r>
          </w:p>
        </w:tc>
      </w:tr>
    </w:tbl>
    <w:p>
      <w:pPr>
        <w:pStyle w:val="24"/>
        <w:spacing w:line="360" w:lineRule="auto"/>
        <w:ind w:left="0" w:leftChars="0" w:firstLine="0" w:firstLineChars="0"/>
        <w:jc w:val="both"/>
        <w:rPr>
          <w:rFonts w:hint="eastAsia" w:ascii="微软雅黑" w:hAnsi="微软雅黑" w:eastAsia="微软雅黑"/>
          <w:lang w:val="en-US" w:eastAsia="zh-CN"/>
        </w:rPr>
      </w:pPr>
      <w:bookmarkStart w:id="73" w:name="_Toc29968"/>
      <w:bookmarkStart w:id="74" w:name="_Toc14256"/>
      <w:bookmarkStart w:id="75" w:name="_Toc8804"/>
      <w:bookmarkStart w:id="76" w:name="_Toc11047"/>
      <w:bookmarkStart w:id="77" w:name="_Toc26863"/>
      <w:bookmarkStart w:id="78" w:name="_Toc12811"/>
      <w:bookmarkStart w:id="79" w:name="_Toc2282"/>
    </w:p>
    <w:p>
      <w:pPr>
        <w:pStyle w:val="24"/>
        <w:spacing w:line="360" w:lineRule="auto"/>
        <w:ind w:left="0" w:leftChars="0" w:firstLine="0" w:firstLineChars="0"/>
        <w:jc w:val="both"/>
        <w:rPr>
          <w:rFonts w:hint="eastAsia" w:ascii="微软雅黑" w:hAnsi="微软雅黑" w:eastAsia="微软雅黑"/>
          <w:lang w:val="en-US" w:eastAsia="zh-CN"/>
        </w:rPr>
      </w:pPr>
    </w:p>
    <w:bookmarkEnd w:id="73"/>
    <w:bookmarkEnd w:id="74"/>
    <w:bookmarkEnd w:id="75"/>
    <w:bookmarkEnd w:id="76"/>
    <w:bookmarkEnd w:id="77"/>
    <w:bookmarkEnd w:id="78"/>
    <w:bookmarkEnd w:id="79"/>
    <w:p>
      <w:pPr>
        <w:pStyle w:val="2"/>
        <w:keepNext/>
        <w:keepLines/>
        <w:pageBreakBefore w:val="0"/>
        <w:widowControl w:val="0"/>
        <w:numPr>
          <w:ilvl w:val="0"/>
          <w:numId w:val="1"/>
        </w:numPr>
        <w:kinsoku/>
        <w:wordWrap/>
        <w:overflowPunct/>
        <w:topLinePunct w:val="0"/>
        <w:autoSpaceDE/>
        <w:autoSpaceDN/>
        <w:bidi w:val="0"/>
        <w:adjustRightInd/>
        <w:snapToGrid/>
        <w:spacing w:before="0" w:beforeLines="100" w:after="0" w:afterLines="100" w:line="360" w:lineRule="auto"/>
        <w:ind w:left="1083" w:leftChars="0" w:right="0" w:rightChars="0" w:hanging="1083" w:firstLineChars="0"/>
        <w:jc w:val="center"/>
        <w:textAlignment w:val="auto"/>
        <w:outlineLvl w:val="0"/>
        <w:rPr>
          <w:rFonts w:hint="eastAsia" w:ascii="微软雅黑" w:hAnsi="微软雅黑" w:eastAsia="微软雅黑" w:cs="微软雅黑"/>
          <w:b w:val="0"/>
          <w:bCs w:val="0"/>
          <w:sz w:val="30"/>
          <w:szCs w:val="30"/>
          <w:lang w:val="en-US" w:eastAsia="zh-CN"/>
        </w:rPr>
      </w:pPr>
      <w:bookmarkStart w:id="80" w:name="_Toc3727"/>
      <w:bookmarkStart w:id="81" w:name="_Toc31342"/>
      <w:bookmarkStart w:id="82" w:name="_Toc31704"/>
      <w:bookmarkStart w:id="83" w:name="_Toc28366"/>
      <w:r>
        <w:rPr>
          <w:rFonts w:hint="eastAsia" w:ascii="微软雅黑" w:hAnsi="微软雅黑" w:eastAsia="微软雅黑" w:cs="微软雅黑"/>
          <w:b w:val="0"/>
          <w:bCs w:val="0"/>
          <w:sz w:val="30"/>
          <w:szCs w:val="30"/>
          <w:lang w:val="en-US" w:eastAsia="zh-CN"/>
        </w:rPr>
        <w:t>满意度调查分析</w:t>
      </w:r>
      <w:bookmarkEnd w:id="80"/>
      <w:bookmarkEnd w:id="81"/>
      <w:bookmarkEnd w:id="82"/>
      <w:bookmarkEnd w:id="83"/>
    </w:p>
    <w:p>
      <w:pPr>
        <w:pStyle w:val="3"/>
        <w:keepNext/>
        <w:keepLines/>
        <w:pageBreakBefore w:val="0"/>
        <w:widowControl w:val="0"/>
        <w:numPr>
          <w:ilvl w:val="0"/>
          <w:numId w:val="11"/>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84" w:name="_Toc11817"/>
      <w:bookmarkStart w:id="85" w:name="_Toc10718"/>
      <w:bookmarkStart w:id="86" w:name="_Toc29160"/>
      <w:bookmarkStart w:id="87" w:name="_Toc23423"/>
      <w:bookmarkStart w:id="88" w:name="_Toc16520"/>
      <w:bookmarkStart w:id="89" w:name="_Toc13512"/>
      <w:bookmarkStart w:id="90" w:name="_Toc24628"/>
      <w:bookmarkStart w:id="91" w:name="_Toc30196"/>
      <w:bookmarkStart w:id="92" w:name="_Toc22920"/>
      <w:bookmarkStart w:id="93" w:name="_Toc6955"/>
      <w:bookmarkStart w:id="94" w:name="_Toc16360"/>
      <w:r>
        <w:rPr>
          <w:rFonts w:hint="eastAsia" w:ascii="微软雅黑" w:hAnsi="微软雅黑" w:eastAsia="微软雅黑" w:cs="微软雅黑"/>
          <w:b w:val="0"/>
          <w:bCs w:val="0"/>
          <w:sz w:val="28"/>
          <w:szCs w:val="28"/>
          <w:lang w:val="en-US" w:eastAsia="zh-CN"/>
        </w:rPr>
        <w:t>用人单位满意度调查</w:t>
      </w:r>
      <w:bookmarkEnd w:id="84"/>
      <w:bookmarkEnd w:id="85"/>
      <w:bookmarkEnd w:id="86"/>
      <w:bookmarkEnd w:id="87"/>
      <w:bookmarkEnd w:id="88"/>
      <w:bookmarkEnd w:id="89"/>
      <w:bookmarkEnd w:id="90"/>
      <w:bookmarkEnd w:id="91"/>
      <w:bookmarkEnd w:id="92"/>
      <w:bookmarkEnd w:id="93"/>
      <w:bookmarkEnd w:id="94"/>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据第三方评价公司安徽信通信息服务有限公司通对2017年接收毕业生就业2人以上的119家用人单位（共接收毕业生就业268人，占就业总数的37.11%）所做的调查显示，2017年我校毕业生平均薪酬为3126元/月，，用人单位对我校毕业生、对学校的满意度较高。</w:t>
      </w:r>
    </w:p>
    <w:p>
      <w:pPr>
        <w:keepNext w:val="0"/>
        <w:keepLines w:val="0"/>
        <w:pageBreakBefore w:val="0"/>
        <w:widowControl w:val="0"/>
        <w:numPr>
          <w:numId w:val="0"/>
        </w:numPr>
        <w:kinsoku/>
        <w:wordWrap/>
        <w:overflowPunct/>
        <w:topLinePunct w:val="0"/>
        <w:autoSpaceDE/>
        <w:autoSpaceDN/>
        <w:bidi w:val="0"/>
        <w:adjustRightInd/>
        <w:snapToGrid/>
        <w:spacing w:before="0" w:beforeLines="50" w:line="360" w:lineRule="auto"/>
        <w:ind w:left="420" w:leftChars="0" w:right="0" w:rightChars="0"/>
        <w:jc w:val="both"/>
        <w:textAlignment w:val="auto"/>
        <w:outlineLvl w:val="9"/>
        <w:rPr>
          <w:rFonts w:hint="eastAsia" w:ascii="微软雅黑" w:hAnsi="微软雅黑" w:eastAsia="微软雅黑"/>
          <w:color w:val="000000"/>
          <w:sz w:val="24"/>
          <w:szCs w:val="24"/>
          <w:lang w:val="en-US" w:eastAsia="zh-CN"/>
        </w:rPr>
      </w:pPr>
      <w:bookmarkStart w:id="95" w:name="_Toc13959"/>
      <w:bookmarkStart w:id="96" w:name="_Toc18107"/>
      <w:r>
        <w:rPr>
          <w:rFonts w:hint="eastAsia" w:ascii="微软雅黑" w:hAnsi="微软雅黑" w:eastAsia="微软雅黑"/>
          <w:color w:val="000000"/>
          <w:sz w:val="24"/>
          <w:szCs w:val="24"/>
          <w:lang w:val="en-US" w:eastAsia="zh-CN"/>
        </w:rPr>
        <w:t>1、用人单位对毕业生满意度高</w:t>
      </w:r>
      <w:bookmarkEnd w:id="95"/>
      <w:bookmarkEnd w:id="96"/>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用人单位对我校毕业生的专业知识与技能的满意度为93.01%，对毕业生在工作实践中知识更新及创新能力的满意度为91.55%。</w:t>
      </w:r>
    </w:p>
    <w:p>
      <w:pPr>
        <w:keepNext w:val="0"/>
        <w:keepLines w:val="0"/>
        <w:pageBreakBefore w:val="0"/>
        <w:widowControl w:val="0"/>
        <w:numPr>
          <w:numId w:val="0"/>
        </w:numPr>
        <w:kinsoku/>
        <w:wordWrap/>
        <w:overflowPunct/>
        <w:topLinePunct w:val="0"/>
        <w:autoSpaceDE/>
        <w:autoSpaceDN/>
        <w:bidi w:val="0"/>
        <w:adjustRightInd/>
        <w:snapToGrid/>
        <w:spacing w:before="0" w:beforeLines="50" w:line="360" w:lineRule="auto"/>
        <w:ind w:left="420" w:leftChars="0" w:right="0" w:rightChars="0"/>
        <w:jc w:val="both"/>
        <w:textAlignment w:val="auto"/>
        <w:outlineLvl w:val="9"/>
        <w:rPr>
          <w:rFonts w:hint="eastAsia" w:ascii="微软雅黑" w:hAnsi="微软雅黑" w:eastAsia="微软雅黑"/>
          <w:color w:val="000000"/>
          <w:sz w:val="24"/>
          <w:szCs w:val="24"/>
          <w:lang w:val="en-US" w:eastAsia="zh-CN"/>
        </w:rPr>
      </w:pPr>
      <w:bookmarkStart w:id="97" w:name="_Toc13216"/>
      <w:bookmarkStart w:id="98" w:name="_Toc24727"/>
      <w:r>
        <w:rPr>
          <w:rFonts w:hint="eastAsia" w:ascii="微软雅黑" w:hAnsi="微软雅黑" w:eastAsia="微软雅黑"/>
          <w:color w:val="000000"/>
          <w:sz w:val="24"/>
          <w:szCs w:val="24"/>
          <w:lang w:val="en-US" w:eastAsia="zh-CN"/>
        </w:rPr>
        <w:t>2、用人单位对学校满意度高</w:t>
      </w:r>
      <w:bookmarkEnd w:id="97"/>
      <w:bookmarkEnd w:id="98"/>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用人单位对学校人才培养整体水平的满意度为100%、对学校为用人单位招聘毕业生所提供各类服务的内容、方式的满意度为100%、对学校就业服务工作整体水平的满意度为100%。</w:t>
      </w:r>
    </w:p>
    <w:p>
      <w:pPr>
        <w:pStyle w:val="3"/>
        <w:keepNext/>
        <w:keepLines/>
        <w:pageBreakBefore w:val="0"/>
        <w:widowControl w:val="0"/>
        <w:numPr>
          <w:ilvl w:val="0"/>
          <w:numId w:val="11"/>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99" w:name="_Toc14736"/>
      <w:bookmarkStart w:id="100" w:name="_Toc20332"/>
      <w:bookmarkStart w:id="101" w:name="_Toc20000"/>
      <w:bookmarkStart w:id="102" w:name="_Toc24133"/>
      <w:bookmarkStart w:id="103" w:name="_Toc17238"/>
      <w:r>
        <w:rPr>
          <w:rFonts w:hint="eastAsia" w:ascii="微软雅黑" w:hAnsi="微软雅黑" w:eastAsia="微软雅黑" w:cs="微软雅黑"/>
          <w:b w:val="0"/>
          <w:bCs w:val="0"/>
          <w:sz w:val="28"/>
          <w:szCs w:val="28"/>
          <w:lang w:val="en-US" w:eastAsia="zh-CN"/>
        </w:rPr>
        <w:t>毕业生满意度调查</w:t>
      </w:r>
      <w:bookmarkEnd w:id="99"/>
      <w:bookmarkEnd w:id="100"/>
      <w:bookmarkEnd w:id="101"/>
      <w:bookmarkEnd w:id="102"/>
      <w:bookmarkEnd w:id="103"/>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据第三方评价公司安徽信通信息服务有限公司对221名毕业生所做的调查显示（被调查毕业生数占毕业生总数的30.6%），毕业生对就业单位、对学校满意度高。</w:t>
      </w:r>
    </w:p>
    <w:p>
      <w:pPr>
        <w:keepNext w:val="0"/>
        <w:keepLines w:val="0"/>
        <w:pageBreakBefore w:val="0"/>
        <w:widowControl w:val="0"/>
        <w:numPr>
          <w:numId w:val="0"/>
        </w:numPr>
        <w:kinsoku/>
        <w:wordWrap/>
        <w:overflowPunct/>
        <w:topLinePunct w:val="0"/>
        <w:autoSpaceDE/>
        <w:autoSpaceDN/>
        <w:bidi w:val="0"/>
        <w:adjustRightInd/>
        <w:snapToGrid/>
        <w:spacing w:before="0" w:beforeLines="50" w:line="360" w:lineRule="auto"/>
        <w:ind w:left="420" w:leftChars="0" w:right="0" w:rightChars="0"/>
        <w:jc w:val="both"/>
        <w:textAlignment w:val="auto"/>
        <w:outlineLvl w:val="9"/>
        <w:rPr>
          <w:rFonts w:hint="eastAsia" w:ascii="微软雅黑" w:hAnsi="微软雅黑" w:eastAsia="微软雅黑"/>
          <w:color w:val="000000"/>
          <w:sz w:val="24"/>
          <w:szCs w:val="24"/>
          <w:lang w:val="en-US" w:eastAsia="zh-CN"/>
        </w:rPr>
      </w:pPr>
      <w:bookmarkStart w:id="104" w:name="_Toc27469"/>
      <w:bookmarkStart w:id="105" w:name="_Toc30872"/>
      <w:r>
        <w:rPr>
          <w:rFonts w:hint="eastAsia" w:ascii="微软雅黑" w:hAnsi="微软雅黑" w:eastAsia="微软雅黑"/>
          <w:color w:val="000000"/>
          <w:sz w:val="24"/>
          <w:szCs w:val="24"/>
          <w:lang w:val="en-US" w:eastAsia="zh-CN"/>
        </w:rPr>
        <w:t>1、毕业生对就业单位满意度高</w:t>
      </w:r>
      <w:bookmarkEnd w:id="104"/>
      <w:bookmarkEnd w:id="105"/>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毕业生对签约单位很满意和比较满意的占97.44%，毕业生就业岗位与专业的对口率较高，完全对口和比较对口的比例达95.41%，对工作的适应程度满意度为92.77%。</w:t>
      </w:r>
    </w:p>
    <w:p>
      <w:pPr>
        <w:keepNext w:val="0"/>
        <w:keepLines w:val="0"/>
        <w:pageBreakBefore w:val="0"/>
        <w:widowControl w:val="0"/>
        <w:numPr>
          <w:numId w:val="0"/>
        </w:numPr>
        <w:kinsoku/>
        <w:wordWrap/>
        <w:overflowPunct/>
        <w:topLinePunct w:val="0"/>
        <w:autoSpaceDE/>
        <w:autoSpaceDN/>
        <w:bidi w:val="0"/>
        <w:adjustRightInd/>
        <w:snapToGrid/>
        <w:spacing w:before="0" w:beforeLines="50" w:line="360" w:lineRule="auto"/>
        <w:ind w:left="420" w:leftChars="0" w:right="0" w:rightChars="0"/>
        <w:jc w:val="both"/>
        <w:textAlignment w:val="auto"/>
        <w:outlineLvl w:val="9"/>
        <w:rPr>
          <w:rFonts w:hint="eastAsia" w:ascii="微软雅黑" w:hAnsi="微软雅黑" w:eastAsia="微软雅黑"/>
          <w:color w:val="000000"/>
          <w:sz w:val="24"/>
          <w:szCs w:val="24"/>
          <w:lang w:val="en-US" w:eastAsia="zh-CN"/>
        </w:rPr>
      </w:pPr>
      <w:bookmarkStart w:id="106" w:name="_Toc4154"/>
      <w:bookmarkStart w:id="107" w:name="_Toc25837"/>
      <w:r>
        <w:rPr>
          <w:rFonts w:hint="eastAsia" w:ascii="微软雅黑" w:hAnsi="微软雅黑" w:eastAsia="微软雅黑"/>
          <w:color w:val="000000"/>
          <w:sz w:val="24"/>
          <w:szCs w:val="24"/>
          <w:lang w:val="en-US" w:eastAsia="zh-CN"/>
        </w:rPr>
        <w:t>2、毕业生对学校满意度高</w:t>
      </w:r>
      <w:bookmarkEnd w:id="106"/>
      <w:bookmarkEnd w:id="107"/>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毕业生对学校和系部</w:t>
      </w:r>
      <w:bookmarkStart w:id="118" w:name="_GoBack"/>
      <w:bookmarkEnd w:id="118"/>
      <w:r>
        <w:rPr>
          <w:rFonts w:hint="eastAsia" w:ascii="微软雅黑" w:hAnsi="微软雅黑" w:eastAsia="微软雅黑" w:cstheme="minorBidi"/>
          <w:kern w:val="2"/>
          <w:sz w:val="21"/>
          <w:szCs w:val="22"/>
          <w:lang w:val="en-US" w:eastAsia="zh-CN" w:bidi="ar-SA"/>
        </w:rPr>
        <w:t>获得就业信息的满意度为94.56%，对学校校园招聘会的满意度为95.08%，对就业指导与服务的满意度为98.33%，对基础课、公共课教师教学效果的满意度为92.69%，对就业指导课教师教学的效果的满意度为95.65%。</w:t>
      </w: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100" w:after="0" w:afterLines="100" w:line="360" w:lineRule="auto"/>
        <w:ind w:left="1083" w:leftChars="0" w:right="0" w:rightChars="0" w:hanging="1083" w:firstLineChars="0"/>
        <w:jc w:val="center"/>
        <w:textAlignment w:val="auto"/>
        <w:outlineLvl w:val="0"/>
        <w:rPr>
          <w:rFonts w:hint="eastAsia" w:ascii="微软雅黑" w:hAnsi="微软雅黑" w:eastAsia="微软雅黑" w:cs="微软雅黑"/>
          <w:b w:val="0"/>
          <w:bCs w:val="0"/>
          <w:sz w:val="30"/>
          <w:szCs w:val="30"/>
          <w:lang w:val="en-US" w:eastAsia="zh-CN"/>
        </w:rPr>
      </w:pPr>
      <w:bookmarkStart w:id="108" w:name="_Toc6921"/>
      <w:r>
        <w:rPr>
          <w:rFonts w:hint="eastAsia" w:ascii="微软雅黑" w:hAnsi="微软雅黑" w:eastAsia="微软雅黑" w:cs="微软雅黑"/>
          <w:b w:val="0"/>
          <w:bCs w:val="0"/>
          <w:sz w:val="30"/>
          <w:szCs w:val="30"/>
          <w:lang w:val="en-US" w:eastAsia="zh-CN"/>
        </w:rPr>
        <w:t>毕业生就业工作的主要特点</w:t>
      </w:r>
      <w:bookmarkEnd w:id="108"/>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09" w:name="_Toc23401"/>
      <w:r>
        <w:rPr>
          <w:rFonts w:hint="eastAsia" w:ascii="微软雅黑" w:hAnsi="微软雅黑" w:eastAsia="微软雅黑" w:cs="微软雅黑"/>
          <w:b w:val="0"/>
          <w:bCs w:val="0"/>
          <w:sz w:val="28"/>
          <w:szCs w:val="28"/>
          <w:lang w:val="en-US" w:eastAsia="zh-CN"/>
        </w:rPr>
        <w:t>学院领导重视毕业生就业工作</w:t>
      </w:r>
      <w:bookmarkEnd w:id="109"/>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学院党政领导高度重视毕业生就业创业工作，成立了以学院党政主要负责人为组长，分管学生工作的副院长为副组长，各专业系党总支书记和分管学生工作主任、学生处、教务处主要负责人为成员的毕业生就业创业工作领导小组，加强对毕业生就业工作的领导。领导小组定期召开毕业生就业创业工作会议，研究毕业生就业创业形势，查找学院毕业生就业创业工作中存在的问题，部署下一步毕业生就业创业工作。各专业系成立相应组织，负责具体实施。在就业创业工作中，学院积极落实人员、经费到位，保障就业创业各项工作的开展；每年均拨出专项经费用于举办就业市场的工作，多途径、多渠道吸纳用人单位前来毕业生就业市场选拔毕业生，为毕业生就业搭建平台。</w:t>
      </w:r>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10" w:name="_Toc15243"/>
      <w:r>
        <w:rPr>
          <w:rFonts w:hint="eastAsia" w:ascii="微软雅黑" w:hAnsi="微软雅黑" w:eastAsia="微软雅黑" w:cs="微软雅黑"/>
          <w:b w:val="0"/>
          <w:bCs w:val="0"/>
          <w:sz w:val="28"/>
          <w:szCs w:val="28"/>
          <w:lang w:val="en-US" w:eastAsia="zh-CN"/>
        </w:rPr>
        <w:t>落实毕业生就业创业规定</w:t>
      </w:r>
      <w:bookmarkEnd w:id="110"/>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学院严格贯彻落实教育部《关于做好2013年全国普通高等学校毕业生就业工作的通知》精神，加强就业创业指导人员队伍建设，在人员紧张的情况下，配备2名人员专职从事毕业生就业指导工作。就业指导人员积极参加省教育厅组织的各种就业创业培训，及时制定全年毕业生就业创业工作计划，传达上级关于毕业生就业创业会议、文件精神，指导各专业系按照上级的要求开展毕业生就业创业。各专业系也都根据本毕业生情况，安排班主任辅导员对毕业生的就业创业指导进行指导，保证毕业生就业创业工作有人抓，把各项规定、政策落到实处。</w:t>
      </w:r>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11" w:name="_Toc4178"/>
      <w:r>
        <w:rPr>
          <w:rFonts w:hint="eastAsia" w:ascii="微软雅黑" w:hAnsi="微软雅黑" w:eastAsia="微软雅黑" w:cs="微软雅黑"/>
          <w:b w:val="0"/>
          <w:bCs w:val="0"/>
          <w:sz w:val="28"/>
          <w:szCs w:val="28"/>
          <w:lang w:val="en-US" w:eastAsia="zh-CN"/>
        </w:rPr>
        <w:t>积极开展就业创业教育</w:t>
      </w:r>
      <w:bookmarkEnd w:id="111"/>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我们把《职业生涯规划》课和《就业创业指导》课作为必修课，纳入人才培养方案，规定课时量，落实人员开展教学。坚持从新生进校开始，对其进行职业生涯规划教育，我们以重人的个性、重人的发展为根本，教育学生把职业发展看作一个长期的、连续的过程，贯穿大学教育阶段甚至贯穿人的一生，帮助学生自觉地围绕就业有目的地进行学习与实践。大三开设就业创业指导课程，同时配合开展就业形势分析、就业政策分析、求职技巧等教育课程，将就业指导课和社会实际更紧密地结合起来，帮助学生正确地把握社会就业形势和国家有关大学生就业创业政策，树立正确的择业、就业、创业观念和就业取向，以保证顺利就业和创业。我们还开展了“用人单位调查问卷”、“大学生就业意向问卷调查”活动，了解用人单位的需求和学生的就业意向，有针对性地对学生进行就业指导。</w:t>
      </w:r>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12" w:name="_Toc26537"/>
      <w:r>
        <w:rPr>
          <w:rFonts w:hint="eastAsia" w:ascii="微软雅黑" w:hAnsi="微软雅黑" w:eastAsia="微软雅黑" w:cs="微软雅黑"/>
          <w:b w:val="0"/>
          <w:bCs w:val="0"/>
          <w:sz w:val="28"/>
          <w:szCs w:val="28"/>
          <w:lang w:val="en-US" w:eastAsia="zh-CN"/>
        </w:rPr>
        <w:t>加大毕业生就业实习基地建设</w:t>
      </w:r>
      <w:bookmarkEnd w:id="112"/>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我院从实际出发，主动适应高职教育发展和教育教学改革的需要，与企业进行深度合作，建立毕业生实习基地。以实训基地为依托，充分发挥专业优势，积极组织学生实习基地各工作岗位开展就业顶岗实习活动。通过实习，一方面，使毕业生能够理论联系实际，积累工作经验，适应实际工作，提高从业能力；另一方面，使用人单位深入了解考察毕业生的综合素质，扩大选人视野，建立较为稳定的人才输送渠道，为促进毕业生充分就业和人才资源优化配置创造条件，促使用人单位与毕业生双方共赢。2016年，我们在已经建立的30多个毕业生就业实习基地的基础上，又分别与苏州市歌舞剧院、张家港市文化馆、浙江省东阳市横店影视城艺术团有限公司签署协议，建立毕业生就业实习基地。</w:t>
      </w:r>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13" w:name="_Toc268"/>
      <w:r>
        <w:rPr>
          <w:rFonts w:hint="eastAsia" w:ascii="微软雅黑" w:hAnsi="微软雅黑" w:eastAsia="微软雅黑" w:cs="微软雅黑"/>
          <w:b w:val="0"/>
          <w:bCs w:val="0"/>
          <w:sz w:val="28"/>
          <w:szCs w:val="28"/>
          <w:lang w:val="en-US" w:eastAsia="zh-CN"/>
        </w:rPr>
        <w:t>继续开展“订单式”人才培养</w:t>
      </w:r>
      <w:bookmarkEnd w:id="113"/>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积极开展校企合作培养模式，寻求“订单式”教育的长效机制建设，使“订单式”教育成为学院艺术职业人才培养的重要方式。几年来，学院先后为蚌埠市泗洲戏剧院、黄山市文化局、安徽省徽京剧院、合肥市庐剧院、安徽省黄梅戏剧院、亳州市委宣传部、江西鹜源县文化局培养了泗洲戏专业、黄梅戏专业、庐剧专业、徽剧专业、京剧专业、戏曲音乐专业二夹弦专业等多个专业的学生。这一培养模式既解决了学生就业，又推动了地方文化事业的发展，也是对国家非物质文化遗产项目的最好支持。2016年，我院又与安徽省黄梅戏剧院进行合作，签订了招生协议并进行定向招生。还为厦门航空公司招收、培养60名定向生，凡经选拔符合厦门航空公司用人标准的考生，在完成规定的学业和业务考核后，将直接被厦门航空公司录用。“订单式”培养艺术人才，解除了毕业生就业的后顾之忧。</w:t>
      </w:r>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14" w:name="_Toc13660"/>
      <w:r>
        <w:rPr>
          <w:rFonts w:hint="eastAsia" w:ascii="微软雅黑" w:hAnsi="微软雅黑" w:eastAsia="微软雅黑" w:cs="微软雅黑"/>
          <w:b w:val="0"/>
          <w:bCs w:val="0"/>
          <w:sz w:val="28"/>
          <w:szCs w:val="28"/>
          <w:lang w:val="en-US" w:eastAsia="zh-CN"/>
        </w:rPr>
        <w:t>加强学生的艺术实践工作</w:t>
      </w:r>
      <w:bookmarkEnd w:id="114"/>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学院努力推进教学、科研、实践一体化，实行课堂教学与舞台实践、社会实践相结合，以艺术实践为突破口，促进教学、编创的跟进和提高。一是积极参加艺术比赛，促进学生实践能力和创新能力的培养，相继参加了安徽省职业院校技能大赛、2016年全国职业院校技能大赛——中华优秀传统文化艺术表演、2016年全国职业院校技能大赛“艺术专业技能大赛(戏曲表演)”、 2016年全国大学生英语竞赛决赛（安徽赛区）、第五届中国校园戏剧节等等一系列国内重大艺术赛事，并不断摘金夺银挂铜。二是参加重要的演出活动，先后组织学生参加了学院2016年招生专场演出、纪念“五四”运动97周年演出、2016届毕业典礼演出、“校园大舞台——徽风皖韵进高校”合肥幼儿师范专科学校专场演出、纪念中国共产党建党95周年专场演出、2016级新生开学典礼文艺演出和2017届安徽省艺术类毕业生就业市场专场演出。三是在校内定期开展“励志杯”专业比赛。这些活动的开展，极大地丰富了学生的舞台实践，为毕业生成功就业奠定良好的基础。</w:t>
      </w:r>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学院坚定地以市场为导向，坚持培养市场需要的实用型、应用型人才为目标，在使学生真正地掌握过硬的专业技能的同时，大力开展职业资格培训，提高大学生就业能力。学院依托承担的文化行业职业技能鉴定站，积极开展对学生职业技能的培训和鉴定，使毕业生在取得学历证书的同时，又可获得国家认可的职业资格证书，大大增强他们的就业竞争力，提高了学生的就业率。</w:t>
      </w:r>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15" w:name="_Toc15092"/>
      <w:r>
        <w:rPr>
          <w:rFonts w:hint="eastAsia" w:ascii="微软雅黑" w:hAnsi="微软雅黑" w:eastAsia="微软雅黑" w:cs="微软雅黑"/>
          <w:b w:val="0"/>
          <w:bCs w:val="0"/>
          <w:sz w:val="28"/>
          <w:szCs w:val="28"/>
          <w:lang w:val="en-US" w:eastAsia="zh-CN"/>
        </w:rPr>
        <w:t>强化就业文化建设</w:t>
      </w:r>
      <w:bookmarkEnd w:id="115"/>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积极开展各种就业活动，促进学院校园文化建设和学院学生社团的发展。学院除通过课堂教学、主题班会等形式对学生进行职业素质教育外，以就业为主线广泛开展科技、文化、社会实践活动：组织学生参加社会公益活动，成立动漫社、爱心社、街舞社等学生社团，开展“三走”等系列体育文娱活动，培育了积极向上、健康和谐的校园文化氛围。</w:t>
      </w:r>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16" w:name="_Toc5828"/>
      <w:r>
        <w:rPr>
          <w:rFonts w:hint="eastAsia" w:ascii="微软雅黑" w:hAnsi="微软雅黑" w:eastAsia="微软雅黑" w:cs="微软雅黑"/>
          <w:b w:val="0"/>
          <w:bCs w:val="0"/>
          <w:sz w:val="28"/>
          <w:szCs w:val="28"/>
          <w:lang w:val="en-US" w:eastAsia="zh-CN"/>
        </w:rPr>
        <w:t>组织举办毕业生就业市场</w:t>
      </w:r>
      <w:bookmarkEnd w:id="116"/>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学院大力培育毕业生就业市场，搭建多功能平台，拓展毕业生就业渠道。在安徽省大中专毕业生就业指导中心的指导下，从2002年开始，学院承担起举办全省艺术类毕业生就业市场工作任务，以后坚持每年定期召开全省艺术类毕业生就业市场，通过承担全省艺术类毕业生就业市场工作，不断总结经验，丰富展示内容，改进工作方式方法，建立和完善以学校为主，各级地方用人单位为辅，“市场引导、学院搭台、各系唱戏”的毕业生就业市场模式，充分调动用人单位的积极性和创造性，优化就业结构，实现了用人单位与毕业生的“无缝对接”。2015年12月中旬，学院举办了“2016届安徽省艺术类毕业生就业市场暨安徽艺术职业学院毕业生供需见面会”，来自全国各地的部队文工团、专业艺术院团、文化传媒公司、艺术培训机构、大中型企业等150余家用人单位参会，为毕业生提供岗位1000余个。此外，各专业系结合本系毕业生专业情况，有针对性的组织相关用人单位来校开展专场招聘，有力地促进了毕业生学生充分就业。</w:t>
      </w:r>
    </w:p>
    <w:p>
      <w:pPr>
        <w:pStyle w:val="3"/>
        <w:keepNext/>
        <w:keepLines/>
        <w:pageBreakBefore w:val="0"/>
        <w:widowControl w:val="0"/>
        <w:numPr>
          <w:ilvl w:val="0"/>
          <w:numId w:val="12"/>
        </w:numPr>
        <w:kinsoku/>
        <w:wordWrap/>
        <w:overflowPunct/>
        <w:topLinePunct w:val="0"/>
        <w:autoSpaceDE/>
        <w:autoSpaceDN/>
        <w:bidi w:val="0"/>
        <w:adjustRightInd/>
        <w:snapToGrid/>
        <w:spacing w:before="0" w:beforeLines="50" w:after="0" w:afterLines="50" w:line="360" w:lineRule="auto"/>
        <w:ind w:left="420" w:leftChars="0" w:right="0" w:rightChars="0" w:hanging="420" w:firstLineChars="0"/>
        <w:jc w:val="both"/>
        <w:textAlignment w:val="auto"/>
        <w:outlineLvl w:val="1"/>
        <w:rPr>
          <w:rFonts w:hint="eastAsia" w:ascii="微软雅黑" w:hAnsi="微软雅黑" w:eastAsia="微软雅黑" w:cs="微软雅黑"/>
          <w:b w:val="0"/>
          <w:bCs w:val="0"/>
          <w:sz w:val="28"/>
          <w:szCs w:val="28"/>
          <w:lang w:val="en-US" w:eastAsia="zh-CN"/>
        </w:rPr>
      </w:pPr>
      <w:bookmarkStart w:id="117" w:name="_Toc247"/>
      <w:r>
        <w:rPr>
          <w:rFonts w:hint="eastAsia" w:ascii="微软雅黑" w:hAnsi="微软雅黑" w:eastAsia="微软雅黑" w:cs="微软雅黑"/>
          <w:b w:val="0"/>
          <w:bCs w:val="0"/>
          <w:sz w:val="28"/>
          <w:szCs w:val="28"/>
          <w:lang w:val="en-US" w:eastAsia="zh-CN"/>
        </w:rPr>
        <w:t>加强就业创业理论研究</w:t>
      </w:r>
      <w:bookmarkEnd w:id="117"/>
    </w:p>
    <w:p>
      <w:pPr>
        <w:pageBreakBefore w:val="0"/>
        <w:widowControl w:val="0"/>
        <w:kinsoku/>
        <w:wordWrap/>
        <w:overflowPunct/>
        <w:topLinePunct w:val="0"/>
        <w:autoSpaceDE/>
        <w:autoSpaceDN/>
        <w:bidi w:val="0"/>
        <w:adjustRightInd/>
        <w:snapToGrid/>
        <w:spacing w:before="157" w:beforeLines="50" w:line="440" w:lineRule="exact"/>
        <w:ind w:left="0" w:leftChars="0" w:right="0" w:rightChars="0" w:firstLine="420" w:firstLineChars="200"/>
        <w:jc w:val="both"/>
        <w:textAlignment w:val="auto"/>
        <w:rPr>
          <w:rFonts w:ascii="微软雅黑" w:hAnsi="微软雅黑" w:eastAsia="微软雅黑"/>
        </w:rPr>
      </w:pPr>
      <w:r>
        <w:rPr>
          <w:rFonts w:hint="eastAsia" w:ascii="微软雅黑" w:hAnsi="微软雅黑" w:eastAsia="微软雅黑" w:cstheme="minorBidi"/>
          <w:kern w:val="2"/>
          <w:sz w:val="21"/>
          <w:szCs w:val="22"/>
          <w:lang w:val="en-US" w:eastAsia="zh-CN" w:bidi="ar-SA"/>
        </w:rPr>
        <w:t>2016年5月我们成功申请了《2016年全国高校就业创业指导课程特色教材课题》，课题目前已经完成，等待结项，同时我们从艺术类高职院校的特点出发，进行量身定制，编写一本针对艺术类高职院校毕业生创业特色的，针对性、时效性更强的教材《艺术类大学生创业指导课程》，从理论上系统的对学生创业进行指导，加强国家积极鼓励大学生自主创业政策的宣传力度和优秀校友自主创业案例进行启发引导，本教材现已交给光明日报出版社印制之中，从下学期开始正式投入使用，这对缓解我院毕业生就业形势具有重要的现实意义。</w:t>
      </w:r>
    </w:p>
    <w:p>
      <w:pPr>
        <w:spacing w:line="360" w:lineRule="auto"/>
        <w:rPr>
          <w:rFonts w:ascii="微软雅黑" w:hAnsi="微软雅黑" w:eastAsia="微软雅黑"/>
        </w:rPr>
      </w:pPr>
    </w:p>
    <w:sectPr>
      <w:headerReference r:id="rId3" w:type="default"/>
      <w:footerReference r:id="rId4" w:type="default"/>
      <w:pgSz w:w="11910" w:h="16160"/>
      <w:pgMar w:top="1420" w:right="1260" w:bottom="800" w:left="1560" w:header="1146" w:footer="6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Bookman Old Style">
    <w:altName w:val="Segoe Print"/>
    <w:panose1 w:val="020506040505050202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tab w:relativeTo="margin" w:alignment="center"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安徽艺术职业学院2</w:t>
    </w:r>
    <w:r>
      <w:t>017</w:t>
    </w:r>
    <w:r>
      <w:rPr>
        <w:rFonts w:hint="eastAsia"/>
      </w:rPr>
      <w:t>年毕业生就业质量年度报告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FC5"/>
    <w:multiLevelType w:val="multilevel"/>
    <w:tmpl w:val="02E66FC5"/>
    <w:lvl w:ilvl="0" w:tentative="0">
      <w:start w:val="1"/>
      <w:numFmt w:val="decimal"/>
      <w:lvlText w:val="%1."/>
      <w:lvlJc w:val="left"/>
      <w:pPr>
        <w:ind w:left="1260" w:hanging="420"/>
      </w:pPr>
      <w:rPr>
        <w:b w:val="0"/>
        <w:sz w:val="24"/>
        <w:szCs w:val="24"/>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538113C"/>
    <w:multiLevelType w:val="multilevel"/>
    <w:tmpl w:val="253811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344D2813"/>
    <w:multiLevelType w:val="multilevel"/>
    <w:tmpl w:val="344D281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8234D19"/>
    <w:multiLevelType w:val="multilevel"/>
    <w:tmpl w:val="38234D19"/>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515444A3"/>
    <w:multiLevelType w:val="multilevel"/>
    <w:tmpl w:val="515444A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5A41719E"/>
    <w:multiLevelType w:val="multilevel"/>
    <w:tmpl w:val="5A41719E"/>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A4171BA"/>
    <w:multiLevelType w:val="multilevel"/>
    <w:tmpl w:val="5A4171B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A4171E4"/>
    <w:multiLevelType w:val="multilevel"/>
    <w:tmpl w:val="5A4171E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A417201"/>
    <w:multiLevelType w:val="multilevel"/>
    <w:tmpl w:val="5A417201"/>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A417245"/>
    <w:multiLevelType w:val="multilevel"/>
    <w:tmpl w:val="5A417245"/>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7526ED3"/>
    <w:multiLevelType w:val="multilevel"/>
    <w:tmpl w:val="67526ED3"/>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936660E"/>
    <w:multiLevelType w:val="multilevel"/>
    <w:tmpl w:val="7936660E"/>
    <w:lvl w:ilvl="0" w:tentative="0">
      <w:start w:val="1"/>
      <w:numFmt w:val="decimal"/>
      <w:lvlText w:val="%1."/>
      <w:lvlJc w:val="left"/>
      <w:pPr>
        <w:ind w:left="1260" w:hanging="420"/>
      </w:pPr>
      <w:rPr>
        <w:b w:val="0"/>
        <w:sz w:val="24"/>
        <w:szCs w:val="24"/>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0"/>
  </w:num>
  <w:num w:numId="2">
    <w:abstractNumId w:val="2"/>
  </w:num>
  <w:num w:numId="3">
    <w:abstractNumId w:val="1"/>
  </w:num>
  <w:num w:numId="4">
    <w:abstractNumId w:val="5"/>
  </w:num>
  <w:num w:numId="5">
    <w:abstractNumId w:val="3"/>
  </w:num>
  <w:num w:numId="6">
    <w:abstractNumId w:val="4"/>
  </w:num>
  <w:num w:numId="7">
    <w:abstractNumId w:val="6"/>
  </w:num>
  <w:num w:numId="8">
    <w:abstractNumId w:val="7"/>
  </w:num>
  <w:num w:numId="9">
    <w:abstractNumId w:val="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2BEE"/>
    <w:rsid w:val="00012BEE"/>
    <w:rsid w:val="00013556"/>
    <w:rsid w:val="000152B5"/>
    <w:rsid w:val="000264DC"/>
    <w:rsid w:val="00031663"/>
    <w:rsid w:val="00032E89"/>
    <w:rsid w:val="00043DAB"/>
    <w:rsid w:val="00051F55"/>
    <w:rsid w:val="00053A86"/>
    <w:rsid w:val="00053EC2"/>
    <w:rsid w:val="0005777E"/>
    <w:rsid w:val="000606D0"/>
    <w:rsid w:val="0006361E"/>
    <w:rsid w:val="00067F49"/>
    <w:rsid w:val="00075346"/>
    <w:rsid w:val="00080624"/>
    <w:rsid w:val="00082A64"/>
    <w:rsid w:val="00082DF3"/>
    <w:rsid w:val="00087585"/>
    <w:rsid w:val="00097BCA"/>
    <w:rsid w:val="000A0851"/>
    <w:rsid w:val="000A6B72"/>
    <w:rsid w:val="000C1267"/>
    <w:rsid w:val="000C36A3"/>
    <w:rsid w:val="000C6957"/>
    <w:rsid w:val="000D1B50"/>
    <w:rsid w:val="000D1DB9"/>
    <w:rsid w:val="000D32F3"/>
    <w:rsid w:val="000D3D34"/>
    <w:rsid w:val="000E42B5"/>
    <w:rsid w:val="000E490A"/>
    <w:rsid w:val="000E4C0D"/>
    <w:rsid w:val="000E5B44"/>
    <w:rsid w:val="001003EA"/>
    <w:rsid w:val="00103E69"/>
    <w:rsid w:val="00110475"/>
    <w:rsid w:val="0011259D"/>
    <w:rsid w:val="001223C2"/>
    <w:rsid w:val="00131F53"/>
    <w:rsid w:val="00143283"/>
    <w:rsid w:val="00143292"/>
    <w:rsid w:val="00147BE5"/>
    <w:rsid w:val="001546C3"/>
    <w:rsid w:val="001563FA"/>
    <w:rsid w:val="001603E0"/>
    <w:rsid w:val="001605D2"/>
    <w:rsid w:val="0016504C"/>
    <w:rsid w:val="0016640D"/>
    <w:rsid w:val="00172538"/>
    <w:rsid w:val="00172875"/>
    <w:rsid w:val="00174B99"/>
    <w:rsid w:val="00181B11"/>
    <w:rsid w:val="0018258C"/>
    <w:rsid w:val="00184584"/>
    <w:rsid w:val="00187A7E"/>
    <w:rsid w:val="00190D78"/>
    <w:rsid w:val="001945E8"/>
    <w:rsid w:val="001A083B"/>
    <w:rsid w:val="001A19A2"/>
    <w:rsid w:val="001A1CF0"/>
    <w:rsid w:val="001A2AB7"/>
    <w:rsid w:val="001A4267"/>
    <w:rsid w:val="001A54C8"/>
    <w:rsid w:val="001B3E99"/>
    <w:rsid w:val="001B4093"/>
    <w:rsid w:val="001B75EE"/>
    <w:rsid w:val="001C1AE2"/>
    <w:rsid w:val="001C4983"/>
    <w:rsid w:val="001D0383"/>
    <w:rsid w:val="001D40A3"/>
    <w:rsid w:val="001D680F"/>
    <w:rsid w:val="001D799D"/>
    <w:rsid w:val="001E18B1"/>
    <w:rsid w:val="001E1966"/>
    <w:rsid w:val="001E28BD"/>
    <w:rsid w:val="001E3D87"/>
    <w:rsid w:val="001E70B2"/>
    <w:rsid w:val="001F3F27"/>
    <w:rsid w:val="00201D8F"/>
    <w:rsid w:val="00203514"/>
    <w:rsid w:val="0020679C"/>
    <w:rsid w:val="002111EA"/>
    <w:rsid w:val="00215ECD"/>
    <w:rsid w:val="002204B1"/>
    <w:rsid w:val="00220618"/>
    <w:rsid w:val="00221406"/>
    <w:rsid w:val="00222BDE"/>
    <w:rsid w:val="002245B0"/>
    <w:rsid w:val="0022601F"/>
    <w:rsid w:val="00226942"/>
    <w:rsid w:val="00230BF5"/>
    <w:rsid w:val="0023107A"/>
    <w:rsid w:val="00231F5C"/>
    <w:rsid w:val="00234AFE"/>
    <w:rsid w:val="002363A4"/>
    <w:rsid w:val="00241864"/>
    <w:rsid w:val="002419BE"/>
    <w:rsid w:val="00242DCF"/>
    <w:rsid w:val="00245F7F"/>
    <w:rsid w:val="00252D2F"/>
    <w:rsid w:val="00257435"/>
    <w:rsid w:val="00257540"/>
    <w:rsid w:val="00271496"/>
    <w:rsid w:val="002725F6"/>
    <w:rsid w:val="00275A59"/>
    <w:rsid w:val="00280C92"/>
    <w:rsid w:val="00281488"/>
    <w:rsid w:val="002815E1"/>
    <w:rsid w:val="00284461"/>
    <w:rsid w:val="002845E2"/>
    <w:rsid w:val="0029393B"/>
    <w:rsid w:val="002A101A"/>
    <w:rsid w:val="002A19A6"/>
    <w:rsid w:val="002A284B"/>
    <w:rsid w:val="002A61EA"/>
    <w:rsid w:val="002B1171"/>
    <w:rsid w:val="002B1822"/>
    <w:rsid w:val="002B1C64"/>
    <w:rsid w:val="002B5AC4"/>
    <w:rsid w:val="002C09A0"/>
    <w:rsid w:val="002C5037"/>
    <w:rsid w:val="002C6BCE"/>
    <w:rsid w:val="002D636D"/>
    <w:rsid w:val="002D7444"/>
    <w:rsid w:val="002E369F"/>
    <w:rsid w:val="002E5E56"/>
    <w:rsid w:val="002F2684"/>
    <w:rsid w:val="002F503E"/>
    <w:rsid w:val="00303219"/>
    <w:rsid w:val="00310DDE"/>
    <w:rsid w:val="00314103"/>
    <w:rsid w:val="00314BB7"/>
    <w:rsid w:val="00315CEB"/>
    <w:rsid w:val="00317A87"/>
    <w:rsid w:val="00317DA2"/>
    <w:rsid w:val="00324C81"/>
    <w:rsid w:val="00325A1A"/>
    <w:rsid w:val="003269B8"/>
    <w:rsid w:val="003333AA"/>
    <w:rsid w:val="003371BF"/>
    <w:rsid w:val="003521B5"/>
    <w:rsid w:val="00354849"/>
    <w:rsid w:val="003568F0"/>
    <w:rsid w:val="003615D5"/>
    <w:rsid w:val="0036570F"/>
    <w:rsid w:val="00365874"/>
    <w:rsid w:val="00366392"/>
    <w:rsid w:val="00370908"/>
    <w:rsid w:val="00374C06"/>
    <w:rsid w:val="003852F2"/>
    <w:rsid w:val="00385B12"/>
    <w:rsid w:val="00386989"/>
    <w:rsid w:val="00394C53"/>
    <w:rsid w:val="003965B4"/>
    <w:rsid w:val="0039665C"/>
    <w:rsid w:val="003A1A51"/>
    <w:rsid w:val="003B1B69"/>
    <w:rsid w:val="003B3109"/>
    <w:rsid w:val="003B66F8"/>
    <w:rsid w:val="003C45CF"/>
    <w:rsid w:val="003C4D22"/>
    <w:rsid w:val="003C52B9"/>
    <w:rsid w:val="003C590C"/>
    <w:rsid w:val="003C7BED"/>
    <w:rsid w:val="003E120C"/>
    <w:rsid w:val="003E3D37"/>
    <w:rsid w:val="004012DA"/>
    <w:rsid w:val="00404BD4"/>
    <w:rsid w:val="00406B10"/>
    <w:rsid w:val="00415F72"/>
    <w:rsid w:val="00415FEB"/>
    <w:rsid w:val="00417CD9"/>
    <w:rsid w:val="004208BA"/>
    <w:rsid w:val="004239DC"/>
    <w:rsid w:val="00435386"/>
    <w:rsid w:val="00442A21"/>
    <w:rsid w:val="00456BD4"/>
    <w:rsid w:val="00464914"/>
    <w:rsid w:val="00467936"/>
    <w:rsid w:val="0047107F"/>
    <w:rsid w:val="00471E2D"/>
    <w:rsid w:val="004738FD"/>
    <w:rsid w:val="00473D40"/>
    <w:rsid w:val="00473FCD"/>
    <w:rsid w:val="00477A9F"/>
    <w:rsid w:val="00481953"/>
    <w:rsid w:val="004A0048"/>
    <w:rsid w:val="004A0474"/>
    <w:rsid w:val="004A1752"/>
    <w:rsid w:val="004A1BCF"/>
    <w:rsid w:val="004A6668"/>
    <w:rsid w:val="004B3379"/>
    <w:rsid w:val="004B47E2"/>
    <w:rsid w:val="004B631A"/>
    <w:rsid w:val="004C273B"/>
    <w:rsid w:val="004C5FDF"/>
    <w:rsid w:val="004C61E4"/>
    <w:rsid w:val="004C6D11"/>
    <w:rsid w:val="004D0532"/>
    <w:rsid w:val="004D4E72"/>
    <w:rsid w:val="004D5523"/>
    <w:rsid w:val="004D7E7C"/>
    <w:rsid w:val="004E44FF"/>
    <w:rsid w:val="004F0C82"/>
    <w:rsid w:val="004F2759"/>
    <w:rsid w:val="004F77BE"/>
    <w:rsid w:val="005036AA"/>
    <w:rsid w:val="00503BB0"/>
    <w:rsid w:val="00510D39"/>
    <w:rsid w:val="0051547B"/>
    <w:rsid w:val="005156F3"/>
    <w:rsid w:val="0051658B"/>
    <w:rsid w:val="00520145"/>
    <w:rsid w:val="005226FA"/>
    <w:rsid w:val="00524680"/>
    <w:rsid w:val="00527250"/>
    <w:rsid w:val="00530466"/>
    <w:rsid w:val="00530ED7"/>
    <w:rsid w:val="005318FF"/>
    <w:rsid w:val="00536D45"/>
    <w:rsid w:val="005413E6"/>
    <w:rsid w:val="00544012"/>
    <w:rsid w:val="00544D64"/>
    <w:rsid w:val="00545CF7"/>
    <w:rsid w:val="00546771"/>
    <w:rsid w:val="0055095D"/>
    <w:rsid w:val="005678FA"/>
    <w:rsid w:val="00571D1F"/>
    <w:rsid w:val="00571E5E"/>
    <w:rsid w:val="00574F20"/>
    <w:rsid w:val="00594851"/>
    <w:rsid w:val="005A2125"/>
    <w:rsid w:val="005A22A3"/>
    <w:rsid w:val="005A2747"/>
    <w:rsid w:val="005B14D3"/>
    <w:rsid w:val="005B319F"/>
    <w:rsid w:val="005B4888"/>
    <w:rsid w:val="005C0914"/>
    <w:rsid w:val="005C14EA"/>
    <w:rsid w:val="005C2525"/>
    <w:rsid w:val="005C39C3"/>
    <w:rsid w:val="005C5004"/>
    <w:rsid w:val="005D1A3F"/>
    <w:rsid w:val="005D6E12"/>
    <w:rsid w:val="005D7F07"/>
    <w:rsid w:val="005E2075"/>
    <w:rsid w:val="005E51BB"/>
    <w:rsid w:val="005F1352"/>
    <w:rsid w:val="006008E8"/>
    <w:rsid w:val="00602169"/>
    <w:rsid w:val="00616119"/>
    <w:rsid w:val="00616505"/>
    <w:rsid w:val="00617434"/>
    <w:rsid w:val="00617899"/>
    <w:rsid w:val="006264F6"/>
    <w:rsid w:val="00626C79"/>
    <w:rsid w:val="0062726D"/>
    <w:rsid w:val="0062732E"/>
    <w:rsid w:val="006347DF"/>
    <w:rsid w:val="00645C11"/>
    <w:rsid w:val="00651A6B"/>
    <w:rsid w:val="006533A1"/>
    <w:rsid w:val="00653829"/>
    <w:rsid w:val="00654F8B"/>
    <w:rsid w:val="00655869"/>
    <w:rsid w:val="006649B0"/>
    <w:rsid w:val="006737D6"/>
    <w:rsid w:val="00692396"/>
    <w:rsid w:val="0069369C"/>
    <w:rsid w:val="00694054"/>
    <w:rsid w:val="00695A9C"/>
    <w:rsid w:val="00695AC8"/>
    <w:rsid w:val="00697C1A"/>
    <w:rsid w:val="006A0712"/>
    <w:rsid w:val="006A225C"/>
    <w:rsid w:val="006B0B2B"/>
    <w:rsid w:val="006B160D"/>
    <w:rsid w:val="006B5D55"/>
    <w:rsid w:val="006B6541"/>
    <w:rsid w:val="006C5D16"/>
    <w:rsid w:val="006D06F0"/>
    <w:rsid w:val="006D13A5"/>
    <w:rsid w:val="006D14A1"/>
    <w:rsid w:val="006D559D"/>
    <w:rsid w:val="006D6B2E"/>
    <w:rsid w:val="006D7DD5"/>
    <w:rsid w:val="006E1045"/>
    <w:rsid w:val="006E3BAE"/>
    <w:rsid w:val="006E6A4F"/>
    <w:rsid w:val="006E6B11"/>
    <w:rsid w:val="006F514D"/>
    <w:rsid w:val="00701EB0"/>
    <w:rsid w:val="00702102"/>
    <w:rsid w:val="00703284"/>
    <w:rsid w:val="00710AA9"/>
    <w:rsid w:val="00713C7E"/>
    <w:rsid w:val="00713D10"/>
    <w:rsid w:val="007159D0"/>
    <w:rsid w:val="007172B8"/>
    <w:rsid w:val="00722704"/>
    <w:rsid w:val="00725E3F"/>
    <w:rsid w:val="0072715D"/>
    <w:rsid w:val="00727763"/>
    <w:rsid w:val="007305B7"/>
    <w:rsid w:val="007325E8"/>
    <w:rsid w:val="00733358"/>
    <w:rsid w:val="007426C2"/>
    <w:rsid w:val="00760749"/>
    <w:rsid w:val="00772B77"/>
    <w:rsid w:val="00772E24"/>
    <w:rsid w:val="007824C7"/>
    <w:rsid w:val="00782722"/>
    <w:rsid w:val="0078704D"/>
    <w:rsid w:val="00791D3A"/>
    <w:rsid w:val="007A18AF"/>
    <w:rsid w:val="007A324A"/>
    <w:rsid w:val="007A42FB"/>
    <w:rsid w:val="007A4EDE"/>
    <w:rsid w:val="007A6393"/>
    <w:rsid w:val="007B7206"/>
    <w:rsid w:val="007B72C5"/>
    <w:rsid w:val="007C33AB"/>
    <w:rsid w:val="007C61F7"/>
    <w:rsid w:val="007D2CB8"/>
    <w:rsid w:val="007D3786"/>
    <w:rsid w:val="007E0230"/>
    <w:rsid w:val="007E2A75"/>
    <w:rsid w:val="007E582C"/>
    <w:rsid w:val="007E6F09"/>
    <w:rsid w:val="007F48DC"/>
    <w:rsid w:val="007F5EBE"/>
    <w:rsid w:val="007F6E1B"/>
    <w:rsid w:val="007F75B8"/>
    <w:rsid w:val="00803500"/>
    <w:rsid w:val="00805332"/>
    <w:rsid w:val="0081116C"/>
    <w:rsid w:val="00811F04"/>
    <w:rsid w:val="00816277"/>
    <w:rsid w:val="0082466D"/>
    <w:rsid w:val="008255E9"/>
    <w:rsid w:val="008260AD"/>
    <w:rsid w:val="00831308"/>
    <w:rsid w:val="00833A15"/>
    <w:rsid w:val="00834AFE"/>
    <w:rsid w:val="00835BC6"/>
    <w:rsid w:val="00836CE5"/>
    <w:rsid w:val="008444C7"/>
    <w:rsid w:val="00853C11"/>
    <w:rsid w:val="00854372"/>
    <w:rsid w:val="0085754A"/>
    <w:rsid w:val="008646CB"/>
    <w:rsid w:val="008700BD"/>
    <w:rsid w:val="008740E0"/>
    <w:rsid w:val="00875BB6"/>
    <w:rsid w:val="008777D7"/>
    <w:rsid w:val="00893ED4"/>
    <w:rsid w:val="008A1469"/>
    <w:rsid w:val="008A365C"/>
    <w:rsid w:val="008B3B34"/>
    <w:rsid w:val="008C3014"/>
    <w:rsid w:val="008C392D"/>
    <w:rsid w:val="008C4A09"/>
    <w:rsid w:val="008D0E6D"/>
    <w:rsid w:val="008D343C"/>
    <w:rsid w:val="008D5B53"/>
    <w:rsid w:val="008D5E6B"/>
    <w:rsid w:val="008D5F1B"/>
    <w:rsid w:val="008D7D9F"/>
    <w:rsid w:val="008E0C5E"/>
    <w:rsid w:val="008E334B"/>
    <w:rsid w:val="008E38EC"/>
    <w:rsid w:val="008E4FF3"/>
    <w:rsid w:val="008F0C97"/>
    <w:rsid w:val="0090214E"/>
    <w:rsid w:val="00905213"/>
    <w:rsid w:val="009058DB"/>
    <w:rsid w:val="00906F77"/>
    <w:rsid w:val="0091408C"/>
    <w:rsid w:val="00914B6D"/>
    <w:rsid w:val="00916965"/>
    <w:rsid w:val="00917981"/>
    <w:rsid w:val="0092489E"/>
    <w:rsid w:val="009248D0"/>
    <w:rsid w:val="0092707B"/>
    <w:rsid w:val="00937DF4"/>
    <w:rsid w:val="00937E12"/>
    <w:rsid w:val="0094595B"/>
    <w:rsid w:val="00945EC4"/>
    <w:rsid w:val="009474A8"/>
    <w:rsid w:val="0095238C"/>
    <w:rsid w:val="00952F50"/>
    <w:rsid w:val="00964570"/>
    <w:rsid w:val="0097368F"/>
    <w:rsid w:val="00982589"/>
    <w:rsid w:val="0099315C"/>
    <w:rsid w:val="009971BA"/>
    <w:rsid w:val="009A5216"/>
    <w:rsid w:val="009A7B0D"/>
    <w:rsid w:val="009B0EA6"/>
    <w:rsid w:val="009C1404"/>
    <w:rsid w:val="009C32E0"/>
    <w:rsid w:val="009C6FFB"/>
    <w:rsid w:val="009C7B46"/>
    <w:rsid w:val="009D36E9"/>
    <w:rsid w:val="009D65C6"/>
    <w:rsid w:val="009D6DE9"/>
    <w:rsid w:val="009E0A84"/>
    <w:rsid w:val="009E217B"/>
    <w:rsid w:val="009F07DF"/>
    <w:rsid w:val="009F5821"/>
    <w:rsid w:val="009F739B"/>
    <w:rsid w:val="00A033B1"/>
    <w:rsid w:val="00A0467C"/>
    <w:rsid w:val="00A05461"/>
    <w:rsid w:val="00A06304"/>
    <w:rsid w:val="00A06AF9"/>
    <w:rsid w:val="00A06B51"/>
    <w:rsid w:val="00A1222A"/>
    <w:rsid w:val="00A12294"/>
    <w:rsid w:val="00A1285A"/>
    <w:rsid w:val="00A12DDC"/>
    <w:rsid w:val="00A14977"/>
    <w:rsid w:val="00A1698A"/>
    <w:rsid w:val="00A22D08"/>
    <w:rsid w:val="00A266CB"/>
    <w:rsid w:val="00A31CB1"/>
    <w:rsid w:val="00A40F8A"/>
    <w:rsid w:val="00A42C1A"/>
    <w:rsid w:val="00A456ED"/>
    <w:rsid w:val="00A46A00"/>
    <w:rsid w:val="00A553CE"/>
    <w:rsid w:val="00A579CF"/>
    <w:rsid w:val="00A60A33"/>
    <w:rsid w:val="00A67193"/>
    <w:rsid w:val="00A673A7"/>
    <w:rsid w:val="00A676B6"/>
    <w:rsid w:val="00A70004"/>
    <w:rsid w:val="00A72B9B"/>
    <w:rsid w:val="00A749C8"/>
    <w:rsid w:val="00A776F5"/>
    <w:rsid w:val="00A92943"/>
    <w:rsid w:val="00A930BC"/>
    <w:rsid w:val="00A95955"/>
    <w:rsid w:val="00A96929"/>
    <w:rsid w:val="00AA0784"/>
    <w:rsid w:val="00AA4FBD"/>
    <w:rsid w:val="00AA6809"/>
    <w:rsid w:val="00AB0755"/>
    <w:rsid w:val="00AB3DAD"/>
    <w:rsid w:val="00AC2F16"/>
    <w:rsid w:val="00AC490C"/>
    <w:rsid w:val="00AC7CBE"/>
    <w:rsid w:val="00AD0688"/>
    <w:rsid w:val="00AD0F2D"/>
    <w:rsid w:val="00AD798C"/>
    <w:rsid w:val="00AE2A81"/>
    <w:rsid w:val="00AF35A0"/>
    <w:rsid w:val="00AF5363"/>
    <w:rsid w:val="00B01546"/>
    <w:rsid w:val="00B039E8"/>
    <w:rsid w:val="00B05974"/>
    <w:rsid w:val="00B12419"/>
    <w:rsid w:val="00B2333B"/>
    <w:rsid w:val="00B23CE5"/>
    <w:rsid w:val="00B24011"/>
    <w:rsid w:val="00B3000E"/>
    <w:rsid w:val="00B31CB9"/>
    <w:rsid w:val="00B32E27"/>
    <w:rsid w:val="00B3374C"/>
    <w:rsid w:val="00B37FB0"/>
    <w:rsid w:val="00B43721"/>
    <w:rsid w:val="00B44555"/>
    <w:rsid w:val="00B458A2"/>
    <w:rsid w:val="00B51DC4"/>
    <w:rsid w:val="00B535A0"/>
    <w:rsid w:val="00B55AA4"/>
    <w:rsid w:val="00B55F43"/>
    <w:rsid w:val="00B60115"/>
    <w:rsid w:val="00B620ED"/>
    <w:rsid w:val="00B64124"/>
    <w:rsid w:val="00B67415"/>
    <w:rsid w:val="00B71F17"/>
    <w:rsid w:val="00B734DF"/>
    <w:rsid w:val="00B77FA6"/>
    <w:rsid w:val="00B813D5"/>
    <w:rsid w:val="00B81EFE"/>
    <w:rsid w:val="00B86A33"/>
    <w:rsid w:val="00B86E86"/>
    <w:rsid w:val="00B911FF"/>
    <w:rsid w:val="00B93269"/>
    <w:rsid w:val="00B9482F"/>
    <w:rsid w:val="00BA073E"/>
    <w:rsid w:val="00BA60D1"/>
    <w:rsid w:val="00BA6146"/>
    <w:rsid w:val="00BB0557"/>
    <w:rsid w:val="00BB0844"/>
    <w:rsid w:val="00BB436D"/>
    <w:rsid w:val="00BB4F17"/>
    <w:rsid w:val="00BC0CB9"/>
    <w:rsid w:val="00BC3AF8"/>
    <w:rsid w:val="00BC6735"/>
    <w:rsid w:val="00BD2BA5"/>
    <w:rsid w:val="00BD45FA"/>
    <w:rsid w:val="00BD6DEB"/>
    <w:rsid w:val="00BE3110"/>
    <w:rsid w:val="00BE5927"/>
    <w:rsid w:val="00BE6DC3"/>
    <w:rsid w:val="00BF1A70"/>
    <w:rsid w:val="00BF7414"/>
    <w:rsid w:val="00C0192B"/>
    <w:rsid w:val="00C0666F"/>
    <w:rsid w:val="00C13CC6"/>
    <w:rsid w:val="00C13EBA"/>
    <w:rsid w:val="00C22B55"/>
    <w:rsid w:val="00C33C6E"/>
    <w:rsid w:val="00C41A2C"/>
    <w:rsid w:val="00C4328B"/>
    <w:rsid w:val="00C434C1"/>
    <w:rsid w:val="00C446A8"/>
    <w:rsid w:val="00C446EA"/>
    <w:rsid w:val="00C447A0"/>
    <w:rsid w:val="00C507F1"/>
    <w:rsid w:val="00C50E56"/>
    <w:rsid w:val="00C52892"/>
    <w:rsid w:val="00C56686"/>
    <w:rsid w:val="00C64B80"/>
    <w:rsid w:val="00C669BE"/>
    <w:rsid w:val="00C66BE3"/>
    <w:rsid w:val="00C66CFB"/>
    <w:rsid w:val="00C677D3"/>
    <w:rsid w:val="00C73D95"/>
    <w:rsid w:val="00C77780"/>
    <w:rsid w:val="00C833D4"/>
    <w:rsid w:val="00C85D16"/>
    <w:rsid w:val="00C9191C"/>
    <w:rsid w:val="00C92FCC"/>
    <w:rsid w:val="00C9425A"/>
    <w:rsid w:val="00C94ADB"/>
    <w:rsid w:val="00C95DEF"/>
    <w:rsid w:val="00CA1BC6"/>
    <w:rsid w:val="00CB0DB7"/>
    <w:rsid w:val="00CB1B71"/>
    <w:rsid w:val="00CB266E"/>
    <w:rsid w:val="00CB313E"/>
    <w:rsid w:val="00CB6704"/>
    <w:rsid w:val="00CB767E"/>
    <w:rsid w:val="00CC307D"/>
    <w:rsid w:val="00CC52B0"/>
    <w:rsid w:val="00CC58A8"/>
    <w:rsid w:val="00CC65F1"/>
    <w:rsid w:val="00CC767D"/>
    <w:rsid w:val="00CD16A8"/>
    <w:rsid w:val="00CD24B0"/>
    <w:rsid w:val="00CD2B1E"/>
    <w:rsid w:val="00CD4208"/>
    <w:rsid w:val="00CD5AAC"/>
    <w:rsid w:val="00CF26CC"/>
    <w:rsid w:val="00CF41D4"/>
    <w:rsid w:val="00CF5F5D"/>
    <w:rsid w:val="00D00925"/>
    <w:rsid w:val="00D01033"/>
    <w:rsid w:val="00D02670"/>
    <w:rsid w:val="00D034F1"/>
    <w:rsid w:val="00D05A20"/>
    <w:rsid w:val="00D06A6D"/>
    <w:rsid w:val="00D17E89"/>
    <w:rsid w:val="00D256C9"/>
    <w:rsid w:val="00D26CCF"/>
    <w:rsid w:val="00D27A04"/>
    <w:rsid w:val="00D377F2"/>
    <w:rsid w:val="00D41981"/>
    <w:rsid w:val="00D43407"/>
    <w:rsid w:val="00D6611B"/>
    <w:rsid w:val="00D711DD"/>
    <w:rsid w:val="00D73699"/>
    <w:rsid w:val="00D758BA"/>
    <w:rsid w:val="00D773E5"/>
    <w:rsid w:val="00D8126A"/>
    <w:rsid w:val="00D84316"/>
    <w:rsid w:val="00D9051C"/>
    <w:rsid w:val="00D90C77"/>
    <w:rsid w:val="00D92C6B"/>
    <w:rsid w:val="00D93365"/>
    <w:rsid w:val="00D93811"/>
    <w:rsid w:val="00DA3039"/>
    <w:rsid w:val="00DA642B"/>
    <w:rsid w:val="00DB1E5E"/>
    <w:rsid w:val="00DB6EB0"/>
    <w:rsid w:val="00DC2B20"/>
    <w:rsid w:val="00DC4D16"/>
    <w:rsid w:val="00DD03EA"/>
    <w:rsid w:val="00DD5ACB"/>
    <w:rsid w:val="00DE22A8"/>
    <w:rsid w:val="00DE231D"/>
    <w:rsid w:val="00DE25F5"/>
    <w:rsid w:val="00DE4C39"/>
    <w:rsid w:val="00DE4C7D"/>
    <w:rsid w:val="00DE6C74"/>
    <w:rsid w:val="00DF3845"/>
    <w:rsid w:val="00E01DBF"/>
    <w:rsid w:val="00E02E08"/>
    <w:rsid w:val="00E11876"/>
    <w:rsid w:val="00E11D1A"/>
    <w:rsid w:val="00E132C1"/>
    <w:rsid w:val="00E15830"/>
    <w:rsid w:val="00E21B8A"/>
    <w:rsid w:val="00E231E8"/>
    <w:rsid w:val="00E26261"/>
    <w:rsid w:val="00E34C5E"/>
    <w:rsid w:val="00E44378"/>
    <w:rsid w:val="00E44388"/>
    <w:rsid w:val="00E5226C"/>
    <w:rsid w:val="00E53F5D"/>
    <w:rsid w:val="00E56265"/>
    <w:rsid w:val="00E60EC4"/>
    <w:rsid w:val="00E61091"/>
    <w:rsid w:val="00E709C6"/>
    <w:rsid w:val="00E832AF"/>
    <w:rsid w:val="00E8419B"/>
    <w:rsid w:val="00E8722C"/>
    <w:rsid w:val="00E90C15"/>
    <w:rsid w:val="00E91217"/>
    <w:rsid w:val="00E92573"/>
    <w:rsid w:val="00E93587"/>
    <w:rsid w:val="00E94376"/>
    <w:rsid w:val="00E95046"/>
    <w:rsid w:val="00E95E2C"/>
    <w:rsid w:val="00EA519B"/>
    <w:rsid w:val="00EA5D18"/>
    <w:rsid w:val="00EA62FA"/>
    <w:rsid w:val="00EB43D7"/>
    <w:rsid w:val="00EB70E5"/>
    <w:rsid w:val="00ED0479"/>
    <w:rsid w:val="00ED5096"/>
    <w:rsid w:val="00ED616F"/>
    <w:rsid w:val="00ED7A94"/>
    <w:rsid w:val="00EE1CD2"/>
    <w:rsid w:val="00EE5050"/>
    <w:rsid w:val="00EE5F5E"/>
    <w:rsid w:val="00EE7202"/>
    <w:rsid w:val="00EF40F2"/>
    <w:rsid w:val="00F040D1"/>
    <w:rsid w:val="00F13B27"/>
    <w:rsid w:val="00F164EC"/>
    <w:rsid w:val="00F165AC"/>
    <w:rsid w:val="00F17179"/>
    <w:rsid w:val="00F20AED"/>
    <w:rsid w:val="00F21D1E"/>
    <w:rsid w:val="00F230D3"/>
    <w:rsid w:val="00F2365F"/>
    <w:rsid w:val="00F32396"/>
    <w:rsid w:val="00F3617D"/>
    <w:rsid w:val="00F4038B"/>
    <w:rsid w:val="00F435BC"/>
    <w:rsid w:val="00F516F0"/>
    <w:rsid w:val="00F51702"/>
    <w:rsid w:val="00F57572"/>
    <w:rsid w:val="00F61919"/>
    <w:rsid w:val="00F64E48"/>
    <w:rsid w:val="00F670E1"/>
    <w:rsid w:val="00F71C36"/>
    <w:rsid w:val="00F72333"/>
    <w:rsid w:val="00F750C4"/>
    <w:rsid w:val="00F871A0"/>
    <w:rsid w:val="00F91540"/>
    <w:rsid w:val="00F95C98"/>
    <w:rsid w:val="00FA34C7"/>
    <w:rsid w:val="00FB5146"/>
    <w:rsid w:val="00FB68B5"/>
    <w:rsid w:val="00FC0A78"/>
    <w:rsid w:val="00FC7B7A"/>
    <w:rsid w:val="00FD0742"/>
    <w:rsid w:val="00FD0D8B"/>
    <w:rsid w:val="00FD19CF"/>
    <w:rsid w:val="00FD2AB0"/>
    <w:rsid w:val="00FD2FC0"/>
    <w:rsid w:val="00FD69E3"/>
    <w:rsid w:val="00FE0B2C"/>
    <w:rsid w:val="00FE0C4A"/>
    <w:rsid w:val="00FE44E4"/>
    <w:rsid w:val="00FE4FBB"/>
    <w:rsid w:val="00FE5B03"/>
    <w:rsid w:val="00FE77FB"/>
    <w:rsid w:val="00FF013E"/>
    <w:rsid w:val="09FA290E"/>
    <w:rsid w:val="0CAA7A55"/>
    <w:rsid w:val="0F312189"/>
    <w:rsid w:val="16D333C3"/>
    <w:rsid w:val="176B1DFD"/>
    <w:rsid w:val="17BB357D"/>
    <w:rsid w:val="26F64798"/>
    <w:rsid w:val="27BA4661"/>
    <w:rsid w:val="291A6527"/>
    <w:rsid w:val="32B85B29"/>
    <w:rsid w:val="3A51299B"/>
    <w:rsid w:val="3C4B20AD"/>
    <w:rsid w:val="3CE614D3"/>
    <w:rsid w:val="3F306A55"/>
    <w:rsid w:val="41CC2096"/>
    <w:rsid w:val="45E93F2B"/>
    <w:rsid w:val="5F7E0A26"/>
    <w:rsid w:val="65900644"/>
    <w:rsid w:val="72A86AE7"/>
    <w:rsid w:val="73D709E9"/>
    <w:rsid w:val="75EA3D29"/>
    <w:rsid w:val="78132E9B"/>
    <w:rsid w:val="7B55716A"/>
    <w:rsid w:val="7D486B43"/>
    <w:rsid w:val="7DB11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1"/>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1"/>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1"/>
    <w:pPr>
      <w:keepNext/>
      <w:keepLines/>
      <w:spacing w:before="260" w:after="260" w:line="416" w:lineRule="auto"/>
      <w:outlineLvl w:val="2"/>
    </w:pPr>
    <w:rPr>
      <w:b/>
      <w:bCs/>
      <w:sz w:val="32"/>
      <w:szCs w:val="32"/>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0"/>
    <w:unhideWhenUsed/>
    <w:qFormat/>
    <w:uiPriority w:val="9"/>
    <w:pPr>
      <w:keepNext/>
      <w:keepLines/>
      <w:spacing w:before="280" w:after="290" w:line="376" w:lineRule="auto"/>
      <w:outlineLvl w:val="4"/>
    </w:pPr>
    <w:rPr>
      <w:b/>
      <w:bCs/>
      <w:sz w:val="28"/>
      <w:szCs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7">
    <w:name w:val="Body Text"/>
    <w:basedOn w:val="1"/>
    <w:link w:val="26"/>
    <w:unhideWhenUsed/>
    <w:qFormat/>
    <w:uiPriority w:val="1"/>
    <w:pPr>
      <w:spacing w:after="120"/>
    </w:pPr>
  </w:style>
  <w:style w:type="paragraph" w:styleId="8">
    <w:name w:val="Balloon Text"/>
    <w:basedOn w:val="1"/>
    <w:link w:val="23"/>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footnote text"/>
    <w:basedOn w:val="1"/>
    <w:link w:val="25"/>
    <w:unhideWhenUsed/>
    <w:qFormat/>
    <w:uiPriority w:val="99"/>
    <w:pPr>
      <w:snapToGrid w:val="0"/>
      <w:jc w:val="left"/>
    </w:pPr>
    <w:rPr>
      <w:sz w:val="18"/>
      <w:szCs w:val="18"/>
    </w:rPr>
  </w:style>
  <w:style w:type="paragraph" w:styleId="13">
    <w:name w:val="toc 2"/>
    <w:basedOn w:val="1"/>
    <w:next w:val="1"/>
    <w:unhideWhenUsed/>
    <w:uiPriority w:val="39"/>
    <w:pPr>
      <w:ind w:left="420" w:leftChars="200"/>
    </w:pPr>
  </w:style>
  <w:style w:type="character" w:styleId="15">
    <w:name w:val="footnote reference"/>
    <w:basedOn w:val="14"/>
    <w:unhideWhenUsed/>
    <w:qFormat/>
    <w:uiPriority w:val="99"/>
    <w:rPr>
      <w:vertAlign w:val="superscript"/>
    </w:rPr>
  </w:style>
  <w:style w:type="character" w:customStyle="1" w:styleId="17">
    <w:name w:val="标题 1 字符"/>
    <w:basedOn w:val="14"/>
    <w:link w:val="2"/>
    <w:qFormat/>
    <w:uiPriority w:val="9"/>
    <w:rPr>
      <w:b/>
      <w:bCs/>
      <w:kern w:val="44"/>
      <w:sz w:val="44"/>
      <w:szCs w:val="44"/>
    </w:rPr>
  </w:style>
  <w:style w:type="character" w:customStyle="1" w:styleId="18">
    <w:name w:val="标题 2 字符"/>
    <w:basedOn w:val="14"/>
    <w:link w:val="3"/>
    <w:semiHidden/>
    <w:qFormat/>
    <w:uiPriority w:val="9"/>
    <w:rPr>
      <w:rFonts w:asciiTheme="majorHAnsi" w:hAnsiTheme="majorHAnsi" w:eastAsiaTheme="majorEastAsia" w:cstheme="majorBidi"/>
      <w:b/>
      <w:bCs/>
      <w:sz w:val="32"/>
      <w:szCs w:val="32"/>
    </w:rPr>
  </w:style>
  <w:style w:type="character" w:customStyle="1" w:styleId="19">
    <w:name w:val="标题 3 字符"/>
    <w:basedOn w:val="14"/>
    <w:link w:val="4"/>
    <w:semiHidden/>
    <w:qFormat/>
    <w:uiPriority w:val="9"/>
    <w:rPr>
      <w:b/>
      <w:bCs/>
      <w:sz w:val="32"/>
      <w:szCs w:val="32"/>
    </w:rPr>
  </w:style>
  <w:style w:type="character" w:customStyle="1" w:styleId="20">
    <w:name w:val="标题 5 字符"/>
    <w:basedOn w:val="14"/>
    <w:link w:val="6"/>
    <w:semiHidden/>
    <w:qFormat/>
    <w:uiPriority w:val="9"/>
    <w:rPr>
      <w:b/>
      <w:bCs/>
      <w:sz w:val="28"/>
      <w:szCs w:val="28"/>
    </w:rPr>
  </w:style>
  <w:style w:type="character" w:customStyle="1" w:styleId="21">
    <w:name w:val="页眉 字符"/>
    <w:basedOn w:val="14"/>
    <w:link w:val="10"/>
    <w:qFormat/>
    <w:uiPriority w:val="99"/>
    <w:rPr>
      <w:sz w:val="18"/>
      <w:szCs w:val="18"/>
    </w:rPr>
  </w:style>
  <w:style w:type="character" w:customStyle="1" w:styleId="22">
    <w:name w:val="页脚 字符"/>
    <w:basedOn w:val="14"/>
    <w:link w:val="9"/>
    <w:qFormat/>
    <w:uiPriority w:val="99"/>
    <w:rPr>
      <w:sz w:val="18"/>
      <w:szCs w:val="18"/>
    </w:rPr>
  </w:style>
  <w:style w:type="character" w:customStyle="1" w:styleId="23">
    <w:name w:val="批注框文本 字符"/>
    <w:basedOn w:val="14"/>
    <w:link w:val="8"/>
    <w:semiHidden/>
    <w:qFormat/>
    <w:uiPriority w:val="99"/>
    <w:rPr>
      <w:sz w:val="18"/>
      <w:szCs w:val="18"/>
    </w:rPr>
  </w:style>
  <w:style w:type="paragraph" w:customStyle="1" w:styleId="24">
    <w:name w:val="List Paragraph"/>
    <w:basedOn w:val="1"/>
    <w:qFormat/>
    <w:uiPriority w:val="34"/>
    <w:pPr>
      <w:ind w:firstLine="420" w:firstLineChars="200"/>
    </w:pPr>
  </w:style>
  <w:style w:type="character" w:customStyle="1" w:styleId="25">
    <w:name w:val="脚注文本 字符"/>
    <w:basedOn w:val="14"/>
    <w:link w:val="12"/>
    <w:semiHidden/>
    <w:qFormat/>
    <w:uiPriority w:val="99"/>
    <w:rPr>
      <w:sz w:val="18"/>
      <w:szCs w:val="18"/>
    </w:rPr>
  </w:style>
  <w:style w:type="character" w:customStyle="1" w:styleId="26">
    <w:name w:val="正文文本 字符"/>
    <w:basedOn w:val="14"/>
    <w:link w:val="7"/>
    <w:qFormat/>
    <w:uiPriority w:val="99"/>
  </w:style>
  <w:style w:type="paragraph" w:customStyle="1" w:styleId="27">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paragraph" w:customStyle="1" w:styleId="2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9">
    <w:name w:val="标题 4 字符"/>
    <w:basedOn w:val="14"/>
    <w:link w:val="5"/>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19.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36136;&#37327;&#25253;&#21578;\&#33402;&#26657;&#30446;&#2440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33402;&#26657;2017\&#33402;&#26657;&#30446;&#24405;113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33402;&#26657;2017\&#33402;&#26657;&#30446;&#24405;113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33402;&#26657;2017\&#33402;&#26657;&#30446;&#24405;113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33402;&#26657;2017\&#33402;&#26657;&#30446;&#24405;113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3402;&#26657;2017\&#33402;&#26657;&#30446;&#24405;113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33402;&#26657;2017\&#33402;&#26657;&#30446;&#24405;113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33402;&#26657;2017\&#33402;&#26657;&#30446;&#24405;113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33402;&#26657;2017\&#33402;&#26657;&#30446;&#24405;113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33402;&#26657;2017\&#33402;&#26657;&#30446;&#24405;113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33402;&#26657;2017\&#33402;&#26657;&#30446;&#24405;113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33402;&#26657;2017\&#33402;&#26657;&#30446;&#24405;113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33402;&#26657;2017\&#33402;&#26657;&#30446;&#24405;122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33402;&#26657;2017\&#33402;&#26657;&#30446;&#24405;113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33402;&#26657;2017\&#33402;&#26657;&#30446;&#24405;122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33402;&#26657;2017\&#33402;&#26657;&#30446;&#24405;113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33402;&#26657;2017\&#33402;&#26657;&#30446;&#24405;113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33402;&#26657;2017\&#33402;&#26657;&#30446;&#24405;113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33402;&#26657;2017\&#33402;&#26657;&#30446;&#24405;11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Sheet1!$D$28:$D$29</c:f>
              <c:strCache>
                <c:ptCount val="2"/>
                <c:pt idx="0">
                  <c:v>男</c:v>
                </c:pt>
                <c:pt idx="1">
                  <c:v>女</c:v>
                </c:pt>
              </c:strCache>
            </c:strRef>
          </c:cat>
          <c:val>
            <c:numRef>
              <c:f>Sheet1!$E$28:$E$29</c:f>
              <c:numCache>
                <c:formatCode>General</c:formatCode>
                <c:ptCount val="2"/>
                <c:pt idx="0">
                  <c:v>264</c:v>
                </c:pt>
                <c:pt idx="1">
                  <c:v>458</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dLbl>
              <c:idx val="0"/>
              <c:layout>
                <c:manualLayout>
                  <c:x val="0.00972053338939436"/>
                  <c:y val="-0.0278745644599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21223113540422"/>
                  <c:y val="-0.0278745644599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[艺校目录1130.xlsx]Sheet4!$D$68:$D$69</c:f>
              <c:strCache>
                <c:ptCount val="2"/>
                <c:pt idx="0">
                  <c:v>求职中</c:v>
                </c:pt>
                <c:pt idx="1">
                  <c:v>拟升学</c:v>
                </c:pt>
              </c:strCache>
            </c:strRef>
          </c:cat>
          <c:val>
            <c:numRef>
              <c:f>[艺校目录1130.xlsx]Sheet4!$E$68:$E$69</c:f>
              <c:numCache>
                <c:formatCode>0.00%</c:formatCode>
                <c:ptCount val="2"/>
                <c:pt idx="0">
                  <c:v>0.9756</c:v>
                </c:pt>
                <c:pt idx="1">
                  <c:v>0.0244</c:v>
                </c:pt>
              </c:numCache>
            </c:numRef>
          </c:val>
        </c:ser>
        <c:dLbls>
          <c:showLegendKey val="0"/>
          <c:showVal val="0"/>
          <c:showCatName val="0"/>
          <c:showSerName val="0"/>
          <c:showPercent val="0"/>
          <c:showBubbleSize val="0"/>
        </c:dLbls>
        <c:gapWidth val="219"/>
        <c:overlap val="-27"/>
        <c:axId val="453092264"/>
        <c:axId val="453092592"/>
      </c:barChart>
      <c:catAx>
        <c:axId val="45309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092592"/>
        <c:crosses val="autoZero"/>
        <c:auto val="1"/>
        <c:lblAlgn val="ctr"/>
        <c:lblOffset val="100"/>
        <c:noMultiLvlLbl val="0"/>
      </c:catAx>
      <c:valAx>
        <c:axId val="453092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09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[艺校目录1130.xlsx]Sheet5!$C$26:$C$31</c:f>
              <c:strCache>
                <c:ptCount val="6"/>
                <c:pt idx="0">
                  <c:v>签就业协议形式就业</c:v>
                </c:pt>
                <c:pt idx="1">
                  <c:v>升学</c:v>
                </c:pt>
                <c:pt idx="2">
                  <c:v>待就业</c:v>
                </c:pt>
                <c:pt idx="3">
                  <c:v>签劳动合同形式就业</c:v>
                </c:pt>
                <c:pt idx="4">
                  <c:v>其他录用形式就业</c:v>
                </c:pt>
                <c:pt idx="5">
                  <c:v>不就业拟升学</c:v>
                </c:pt>
              </c:strCache>
            </c:strRef>
          </c:cat>
          <c:val>
            <c:numRef>
              <c:f>[艺校目录1130.xlsx]Sheet5!$D$26:$D$31</c:f>
              <c:numCache>
                <c:formatCode>0.00%</c:formatCode>
                <c:ptCount val="6"/>
                <c:pt idx="0">
                  <c:v>0.8172</c:v>
                </c:pt>
                <c:pt idx="1">
                  <c:v>0.0693</c:v>
                </c:pt>
                <c:pt idx="2">
                  <c:v>0.0554</c:v>
                </c:pt>
                <c:pt idx="3">
                  <c:v>0.0402</c:v>
                </c:pt>
                <c:pt idx="4">
                  <c:v>0.0166</c:v>
                </c:pt>
                <c:pt idx="5">
                  <c:v>0.0014</c:v>
                </c:pt>
              </c:numCache>
            </c:numRef>
          </c:val>
        </c:ser>
        <c:dLbls>
          <c:showLegendKey val="0"/>
          <c:showVal val="0"/>
          <c:showCatName val="0"/>
          <c:showSerName val="0"/>
          <c:showPercent val="0"/>
          <c:showBubbleSize val="0"/>
        </c:dLbls>
        <c:gapWidth val="122"/>
        <c:overlap val="0"/>
        <c:axId val="542863888"/>
        <c:axId val="542862248"/>
      </c:barChart>
      <c:catAx>
        <c:axId val="542863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2862248"/>
        <c:crosses val="autoZero"/>
        <c:auto val="1"/>
        <c:lblAlgn val="ctr"/>
        <c:lblOffset val="100"/>
        <c:noMultiLvlLbl val="0"/>
      </c:catAx>
      <c:valAx>
        <c:axId val="54286224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286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[艺校目录1130.xlsx]Sheet5!$D$79:$D$97</c:f>
              <c:strCache>
                <c:ptCount val="19"/>
                <c:pt idx="0">
                  <c:v>文化、体育和娱乐业</c:v>
                </c:pt>
                <c:pt idx="1">
                  <c:v>教育</c:v>
                </c:pt>
                <c:pt idx="2">
                  <c:v>批发和零售业</c:v>
                </c:pt>
                <c:pt idx="3">
                  <c:v>居民服务、修理和其他服务业</c:v>
                </c:pt>
                <c:pt idx="4">
                  <c:v>建筑业</c:v>
                </c:pt>
                <c:pt idx="5">
                  <c:v>住宿和餐饮业</c:v>
                </c:pt>
                <c:pt idx="6">
                  <c:v>制造业</c:v>
                </c:pt>
                <c:pt idx="7">
                  <c:v>信息传输、软件和信息技术服务业</c:v>
                </c:pt>
                <c:pt idx="8">
                  <c:v>金融业</c:v>
                </c:pt>
                <c:pt idx="9">
                  <c:v>租赁和商务服务业</c:v>
                </c:pt>
                <c:pt idx="10">
                  <c:v>房地产业</c:v>
                </c:pt>
                <c:pt idx="11">
                  <c:v>交通运输、仓储和邮政业</c:v>
                </c:pt>
                <c:pt idx="12">
                  <c:v>科学研究和技术服务业</c:v>
                </c:pt>
                <c:pt idx="13">
                  <c:v>农、林、牧、渔业</c:v>
                </c:pt>
                <c:pt idx="14">
                  <c:v>电力、热力、燃气及水生产和供应业</c:v>
                </c:pt>
                <c:pt idx="15">
                  <c:v>卫生和社会工作</c:v>
                </c:pt>
                <c:pt idx="16">
                  <c:v>公共管理、社会保障和社会组织</c:v>
                </c:pt>
                <c:pt idx="17">
                  <c:v>采矿业</c:v>
                </c:pt>
                <c:pt idx="18">
                  <c:v>水利、环境和公共设施管理业</c:v>
                </c:pt>
              </c:strCache>
            </c:strRef>
          </c:cat>
          <c:val>
            <c:numRef>
              <c:f>[艺校目录1130.xlsx]Sheet5!$E$79:$E$97</c:f>
              <c:numCache>
                <c:formatCode>0.00%</c:formatCode>
                <c:ptCount val="19"/>
                <c:pt idx="0">
                  <c:v>0.2726</c:v>
                </c:pt>
                <c:pt idx="1">
                  <c:v>0.1442</c:v>
                </c:pt>
                <c:pt idx="2">
                  <c:v>0.1094</c:v>
                </c:pt>
                <c:pt idx="3">
                  <c:v>0.0935</c:v>
                </c:pt>
                <c:pt idx="4">
                  <c:v>0.0634</c:v>
                </c:pt>
                <c:pt idx="5">
                  <c:v>0.0523</c:v>
                </c:pt>
                <c:pt idx="6">
                  <c:v>0.0475</c:v>
                </c:pt>
                <c:pt idx="7">
                  <c:v>0.0412</c:v>
                </c:pt>
                <c:pt idx="8">
                  <c:v>0.0349</c:v>
                </c:pt>
                <c:pt idx="9">
                  <c:v>0.0254</c:v>
                </c:pt>
                <c:pt idx="10">
                  <c:v>0.0222</c:v>
                </c:pt>
                <c:pt idx="11">
                  <c:v>0.0206</c:v>
                </c:pt>
                <c:pt idx="12">
                  <c:v>0.0206</c:v>
                </c:pt>
                <c:pt idx="13">
                  <c:v>0.019</c:v>
                </c:pt>
                <c:pt idx="14">
                  <c:v>0.0111</c:v>
                </c:pt>
                <c:pt idx="15">
                  <c:v>0.0079</c:v>
                </c:pt>
                <c:pt idx="16">
                  <c:v>0.0079</c:v>
                </c:pt>
                <c:pt idx="17">
                  <c:v>0.0032</c:v>
                </c:pt>
                <c:pt idx="18">
                  <c:v>0.0032</c:v>
                </c:pt>
              </c:numCache>
            </c:numRef>
          </c:val>
        </c:ser>
        <c:dLbls>
          <c:showLegendKey val="0"/>
          <c:showVal val="0"/>
          <c:showCatName val="0"/>
          <c:showSerName val="0"/>
          <c:showPercent val="0"/>
          <c:showBubbleSize val="0"/>
        </c:dLbls>
        <c:gapWidth val="56"/>
        <c:overlap val="0"/>
        <c:axId val="544850240"/>
        <c:axId val="544850568"/>
      </c:barChart>
      <c:catAx>
        <c:axId val="5448502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850568"/>
        <c:crosses val="autoZero"/>
        <c:auto val="1"/>
        <c:lblAlgn val="ctr"/>
        <c:lblOffset val="100"/>
        <c:noMultiLvlLbl val="0"/>
      </c:catAx>
      <c:valAx>
        <c:axId val="54485056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85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[艺校目录1130.xlsx]Sheet5!$E$124:$E$132</c:f>
              <c:strCache>
                <c:ptCount val="9"/>
                <c:pt idx="0">
                  <c:v>其他企业</c:v>
                </c:pt>
                <c:pt idx="1">
                  <c:v>其他事业单位</c:v>
                </c:pt>
                <c:pt idx="2">
                  <c:v>国有企业</c:v>
                </c:pt>
                <c:pt idx="3">
                  <c:v>中初教育单位</c:v>
                </c:pt>
                <c:pt idx="4">
                  <c:v>机关</c:v>
                </c:pt>
                <c:pt idx="5">
                  <c:v>三资企业</c:v>
                </c:pt>
                <c:pt idx="6">
                  <c:v>城镇社区</c:v>
                </c:pt>
                <c:pt idx="7">
                  <c:v>部队</c:v>
                </c:pt>
                <c:pt idx="8">
                  <c:v>医疗卫生单位</c:v>
                </c:pt>
              </c:strCache>
            </c:strRef>
          </c:cat>
          <c:val>
            <c:numRef>
              <c:f>[艺校目录1130.xlsx]Sheet5!$F$124:$F$132</c:f>
              <c:numCache>
                <c:formatCode>0.00%</c:formatCode>
                <c:ptCount val="9"/>
                <c:pt idx="0">
                  <c:v>0.7132</c:v>
                </c:pt>
                <c:pt idx="1">
                  <c:v>0.0507</c:v>
                </c:pt>
                <c:pt idx="2">
                  <c:v>0.0428</c:v>
                </c:pt>
                <c:pt idx="3">
                  <c:v>0.0285</c:v>
                </c:pt>
                <c:pt idx="4">
                  <c:v>0.0127</c:v>
                </c:pt>
                <c:pt idx="5">
                  <c:v>0.0095</c:v>
                </c:pt>
                <c:pt idx="6">
                  <c:v>0.0048</c:v>
                </c:pt>
                <c:pt idx="7">
                  <c:v>0.0032</c:v>
                </c:pt>
                <c:pt idx="8">
                  <c:v>0.0016</c:v>
                </c:pt>
              </c:numCache>
            </c:numRef>
          </c:val>
        </c:ser>
        <c:dLbls>
          <c:showLegendKey val="0"/>
          <c:showVal val="0"/>
          <c:showCatName val="0"/>
          <c:showSerName val="0"/>
          <c:showPercent val="0"/>
          <c:showBubbleSize val="0"/>
        </c:dLbls>
        <c:gapWidth val="61"/>
        <c:axId val="541518560"/>
        <c:axId val="541519544"/>
      </c:barChart>
      <c:catAx>
        <c:axId val="541518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519544"/>
        <c:crosses val="autoZero"/>
        <c:auto val="1"/>
        <c:lblAlgn val="ctr"/>
        <c:lblOffset val="100"/>
        <c:noMultiLvlLbl val="0"/>
      </c:catAx>
      <c:valAx>
        <c:axId val="541519544"/>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51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[艺校目录1130.xlsx]Sheet5!$E$167:$E$180</c:f>
              <c:strCache>
                <c:ptCount val="14"/>
                <c:pt idx="0">
                  <c:v>其他人员</c:v>
                </c:pt>
                <c:pt idx="1">
                  <c:v>文学艺术工作人员</c:v>
                </c:pt>
                <c:pt idx="2">
                  <c:v>办事人员和有关人员</c:v>
                </c:pt>
                <c:pt idx="3">
                  <c:v>商业和服务业人员</c:v>
                </c:pt>
                <c:pt idx="4">
                  <c:v>教学人员</c:v>
                </c:pt>
                <c:pt idx="5">
                  <c:v>其他专业技术人员</c:v>
                </c:pt>
                <c:pt idx="6">
                  <c:v>经济业务人员</c:v>
                </c:pt>
                <c:pt idx="7">
                  <c:v>生产和运输设备操作人员</c:v>
                </c:pt>
                <c:pt idx="8">
                  <c:v>工程技术人员</c:v>
                </c:pt>
                <c:pt idx="9">
                  <c:v>农林牧渔业技术人员</c:v>
                </c:pt>
                <c:pt idx="10">
                  <c:v>新闻出版和文化工作人员</c:v>
                </c:pt>
                <c:pt idx="11">
                  <c:v>卫生专业技术人员</c:v>
                </c:pt>
                <c:pt idx="12">
                  <c:v>金融业务人员</c:v>
                </c:pt>
                <c:pt idx="13">
                  <c:v>军人</c:v>
                </c:pt>
              </c:strCache>
            </c:strRef>
          </c:cat>
          <c:val>
            <c:numRef>
              <c:f>[艺校目录1130.xlsx]Sheet5!$F$167:$F$180</c:f>
              <c:numCache>
                <c:formatCode>0.00%</c:formatCode>
                <c:ptCount val="14"/>
                <c:pt idx="0">
                  <c:v>0.4485</c:v>
                </c:pt>
                <c:pt idx="1">
                  <c:v>0.1569</c:v>
                </c:pt>
                <c:pt idx="2">
                  <c:v>0.1347</c:v>
                </c:pt>
                <c:pt idx="3">
                  <c:v>0.0872</c:v>
                </c:pt>
                <c:pt idx="4">
                  <c:v>0.0856</c:v>
                </c:pt>
                <c:pt idx="5">
                  <c:v>0.038</c:v>
                </c:pt>
                <c:pt idx="6">
                  <c:v>0.0158</c:v>
                </c:pt>
                <c:pt idx="7">
                  <c:v>0.0095</c:v>
                </c:pt>
                <c:pt idx="8">
                  <c:v>0.0079</c:v>
                </c:pt>
                <c:pt idx="9">
                  <c:v>0.0063</c:v>
                </c:pt>
                <c:pt idx="10">
                  <c:v>0.0048</c:v>
                </c:pt>
                <c:pt idx="11">
                  <c:v>0.0016</c:v>
                </c:pt>
                <c:pt idx="12">
                  <c:v>0.0016</c:v>
                </c:pt>
                <c:pt idx="13">
                  <c:v>0.0016</c:v>
                </c:pt>
              </c:numCache>
            </c:numRef>
          </c:val>
        </c:ser>
        <c:dLbls>
          <c:showLegendKey val="0"/>
          <c:showVal val="0"/>
          <c:showCatName val="0"/>
          <c:showSerName val="0"/>
          <c:showPercent val="0"/>
          <c:showBubbleSize val="0"/>
        </c:dLbls>
        <c:gapWidth val="31"/>
        <c:axId val="551864584"/>
        <c:axId val="551868192"/>
      </c:barChart>
      <c:catAx>
        <c:axId val="5518645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1868192"/>
        <c:crosses val="autoZero"/>
        <c:auto val="1"/>
        <c:lblAlgn val="ctr"/>
        <c:lblOffset val="100"/>
        <c:noMultiLvlLbl val="0"/>
      </c:catAx>
      <c:valAx>
        <c:axId val="551868192"/>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186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[艺校目录1130.xlsx]Sheet5!$D$205:$D$210</c:f>
              <c:strCache>
                <c:ptCount val="6"/>
                <c:pt idx="0">
                  <c:v>华东地区</c:v>
                </c:pt>
                <c:pt idx="1">
                  <c:v>海外及其它</c:v>
                </c:pt>
                <c:pt idx="2">
                  <c:v>华北地区</c:v>
                </c:pt>
                <c:pt idx="3">
                  <c:v>华中地区</c:v>
                </c:pt>
                <c:pt idx="4">
                  <c:v>华南地区</c:v>
                </c:pt>
                <c:pt idx="5">
                  <c:v>西北地区</c:v>
                </c:pt>
              </c:strCache>
            </c:strRef>
          </c:cat>
          <c:val>
            <c:numRef>
              <c:f>[艺校目录1130.xlsx]Sheet5!$E$205:$E$210</c:f>
              <c:numCache>
                <c:formatCode>0.00%</c:formatCode>
                <c:ptCount val="6"/>
                <c:pt idx="0">
                  <c:v>0.953</c:v>
                </c:pt>
                <c:pt idx="1">
                  <c:v>0.025</c:v>
                </c:pt>
                <c:pt idx="2">
                  <c:v>0.0103</c:v>
                </c:pt>
                <c:pt idx="3">
                  <c:v>0.0059</c:v>
                </c:pt>
                <c:pt idx="4">
                  <c:v>0.0044</c:v>
                </c:pt>
                <c:pt idx="5">
                  <c:v>0.0015</c:v>
                </c:pt>
              </c:numCache>
            </c:numRef>
          </c:val>
        </c:ser>
        <c:dLbls>
          <c:showLegendKey val="0"/>
          <c:showVal val="0"/>
          <c:showCatName val="0"/>
          <c:showSerName val="0"/>
          <c:showPercent val="0"/>
          <c:showBubbleSize val="0"/>
        </c:dLbls>
        <c:gapWidth val="112"/>
        <c:axId val="552566040"/>
        <c:axId val="552569648"/>
      </c:barChart>
      <c:catAx>
        <c:axId val="552566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569648"/>
        <c:crosses val="autoZero"/>
        <c:auto val="1"/>
        <c:lblAlgn val="ctr"/>
        <c:lblOffset val="100"/>
        <c:noMultiLvlLbl val="0"/>
      </c:catAx>
      <c:valAx>
        <c:axId val="552569648"/>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566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[艺校目录1130.xlsx]Sheet5!$E$324:$E$330</c:f>
              <c:strCache>
                <c:ptCount val="7"/>
                <c:pt idx="0">
                  <c:v>省会城市</c:v>
                </c:pt>
                <c:pt idx="1">
                  <c:v>地级市</c:v>
                </c:pt>
                <c:pt idx="2">
                  <c:v>县</c:v>
                </c:pt>
                <c:pt idx="3">
                  <c:v>直辖市</c:v>
                </c:pt>
                <c:pt idx="4">
                  <c:v>海外及其它</c:v>
                </c:pt>
                <c:pt idx="5">
                  <c:v>县级市</c:v>
                </c:pt>
                <c:pt idx="6">
                  <c:v>计划单列市</c:v>
                </c:pt>
              </c:strCache>
            </c:strRef>
          </c:cat>
          <c:val>
            <c:numRef>
              <c:f>[艺校目录1130.xlsx]Sheet5!$F$324:$F$330</c:f>
              <c:numCache>
                <c:formatCode>0.00%</c:formatCode>
                <c:ptCount val="7"/>
                <c:pt idx="0">
                  <c:v>0.5066</c:v>
                </c:pt>
                <c:pt idx="1">
                  <c:v>0.2305</c:v>
                </c:pt>
                <c:pt idx="2">
                  <c:v>0.188</c:v>
                </c:pt>
                <c:pt idx="3">
                  <c:v>0.0367</c:v>
                </c:pt>
                <c:pt idx="4">
                  <c:v>0.025</c:v>
                </c:pt>
                <c:pt idx="5">
                  <c:v>0.0073</c:v>
                </c:pt>
                <c:pt idx="6">
                  <c:v>0.0029</c:v>
                </c:pt>
              </c:numCache>
            </c:numRef>
          </c:val>
        </c:ser>
        <c:dLbls>
          <c:showLegendKey val="0"/>
          <c:showVal val="0"/>
          <c:showCatName val="0"/>
          <c:showSerName val="0"/>
          <c:showPercent val="0"/>
          <c:showBubbleSize val="0"/>
        </c:dLbls>
        <c:gapWidth val="82"/>
        <c:axId val="454975344"/>
        <c:axId val="454977640"/>
      </c:barChart>
      <c:catAx>
        <c:axId val="4549753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977640"/>
        <c:crosses val="autoZero"/>
        <c:auto val="1"/>
        <c:lblAlgn val="ctr"/>
        <c:lblOffset val="100"/>
        <c:noMultiLvlLbl val="0"/>
      </c:catAx>
      <c:valAx>
        <c:axId val="454977640"/>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97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972222222222"/>
          <c:y val="0.0441767068273092"/>
          <c:w val="0.757555555555556"/>
          <c:h val="0.911646586345382"/>
        </c:manualLayout>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[艺校目录1130.xlsx]Sheet5!$E$268:$E$280</c:f>
              <c:strCache>
                <c:ptCount val="13"/>
                <c:pt idx="0">
                  <c:v>安徽省</c:v>
                </c:pt>
                <c:pt idx="1">
                  <c:v>江西省</c:v>
                </c:pt>
                <c:pt idx="2">
                  <c:v>江苏省</c:v>
                </c:pt>
                <c:pt idx="3">
                  <c:v>上海市</c:v>
                </c:pt>
                <c:pt idx="4">
                  <c:v>海外及其它</c:v>
                </c:pt>
                <c:pt idx="5">
                  <c:v>浙江省</c:v>
                </c:pt>
                <c:pt idx="6">
                  <c:v>北京市</c:v>
                </c:pt>
                <c:pt idx="7">
                  <c:v>湖北省</c:v>
                </c:pt>
                <c:pt idx="8">
                  <c:v>河北省</c:v>
                </c:pt>
                <c:pt idx="9">
                  <c:v>广东省</c:v>
                </c:pt>
                <c:pt idx="10">
                  <c:v>福建省</c:v>
                </c:pt>
                <c:pt idx="11">
                  <c:v>广西壮族自治区</c:v>
                </c:pt>
                <c:pt idx="12">
                  <c:v>陕西省</c:v>
                </c:pt>
              </c:strCache>
            </c:strRef>
          </c:cat>
          <c:val>
            <c:numRef>
              <c:f>[艺校目录1130.xlsx]Sheet5!$F$268:$F$280</c:f>
              <c:numCache>
                <c:formatCode>0.00%</c:formatCode>
                <c:ptCount val="13"/>
                <c:pt idx="0">
                  <c:v>0.8209</c:v>
                </c:pt>
                <c:pt idx="1">
                  <c:v>0.0455</c:v>
                </c:pt>
                <c:pt idx="2">
                  <c:v>0.0411</c:v>
                </c:pt>
                <c:pt idx="3">
                  <c:v>0.0308</c:v>
                </c:pt>
                <c:pt idx="4">
                  <c:v>0.025</c:v>
                </c:pt>
                <c:pt idx="5">
                  <c:v>0.0132</c:v>
                </c:pt>
                <c:pt idx="6">
                  <c:v>0.0073</c:v>
                </c:pt>
                <c:pt idx="7">
                  <c:v>0.0059</c:v>
                </c:pt>
                <c:pt idx="8">
                  <c:v>0.0029</c:v>
                </c:pt>
                <c:pt idx="9">
                  <c:v>0.0029</c:v>
                </c:pt>
                <c:pt idx="10">
                  <c:v>0.0015</c:v>
                </c:pt>
                <c:pt idx="11">
                  <c:v>0.0015</c:v>
                </c:pt>
                <c:pt idx="12">
                  <c:v>0.0015</c:v>
                </c:pt>
              </c:numCache>
            </c:numRef>
          </c:val>
        </c:ser>
        <c:dLbls>
          <c:showLegendKey val="0"/>
          <c:showVal val="0"/>
          <c:showCatName val="0"/>
          <c:showSerName val="0"/>
          <c:showPercent val="0"/>
          <c:showBubbleSize val="0"/>
        </c:dLbls>
        <c:gapWidth val="26"/>
        <c:overlap val="-29"/>
        <c:axId val="453197200"/>
        <c:axId val="453196872"/>
      </c:barChart>
      <c:catAx>
        <c:axId val="453197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196872"/>
        <c:crosses val="autoZero"/>
        <c:auto val="1"/>
        <c:lblAlgn val="ctr"/>
        <c:lblOffset val="100"/>
        <c:noMultiLvlLbl val="0"/>
      </c:catAx>
      <c:valAx>
        <c:axId val="453196872"/>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19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p3d/>
          </c:spPr>
          <c:invertIfNegative val="0"/>
          <c:dPt>
            <c:idx val="0"/>
            <c:invertIfNegative val="0"/>
            <c:bubble3D val="0"/>
            <c:spPr>
              <a:solidFill>
                <a:schemeClr val="accent2"/>
              </a:solidFill>
              <a:ln>
                <a:noFill/>
              </a:ln>
              <a:effectLst/>
              <a:sp3d/>
            </c:spPr>
          </c:dPt>
          <c:dPt>
            <c:idx val="1"/>
            <c:invertIfNegative val="0"/>
            <c:bubble3D val="0"/>
            <c:spPr>
              <a:solidFill>
                <a:schemeClr val="accent2"/>
              </a:solidFill>
              <a:ln>
                <a:noFill/>
              </a:ln>
              <a:effectLst/>
              <a:sp3d/>
            </c:spPr>
          </c:dPt>
          <c:dLbls>
            <c:dLbl>
              <c:idx val="0"/>
              <c:layout>
                <c:manualLayout>
                  <c:x val="0.0407643257583194"/>
                  <c:y val="-0.05063291139240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382296620386"/>
                  <c:y val="-0.0225035161744023"/>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27405369389255"/>
                      <c:h val="0.106807535134058"/>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[艺校目录1130.xlsx]Sheet6!$D$14:$D$15</c:f>
              <c:strCache>
                <c:ptCount val="2"/>
                <c:pt idx="0">
                  <c:v>安徽省</c:v>
                </c:pt>
                <c:pt idx="1">
                  <c:v>江西省</c:v>
                </c:pt>
              </c:strCache>
            </c:strRef>
          </c:cat>
          <c:val>
            <c:numRef>
              <c:f>[艺校目录1130.xlsx]Sheet6!$E$14:$E$15</c:f>
              <c:numCache>
                <c:formatCode>0.00%</c:formatCode>
                <c:ptCount val="2"/>
                <c:pt idx="0">
                  <c:v>0.3991</c:v>
                </c:pt>
                <c:pt idx="1">
                  <c:v>1</c:v>
                </c:pt>
              </c:numCache>
            </c:numRef>
          </c:val>
        </c:ser>
        <c:dLbls>
          <c:showLegendKey val="0"/>
          <c:showVal val="0"/>
          <c:showCatName val="0"/>
          <c:showSerName val="0"/>
          <c:showPercent val="0"/>
          <c:showBubbleSize val="0"/>
        </c:dLbls>
        <c:gapWidth val="209"/>
        <c:axId val="454984200"/>
        <c:axId val="454983872"/>
      </c:barChart>
      <c:catAx>
        <c:axId val="454984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983872"/>
        <c:crosses val="autoZero"/>
        <c:auto val="1"/>
        <c:lblAlgn val="ctr"/>
        <c:lblOffset val="100"/>
        <c:noMultiLvlLbl val="0"/>
      </c:catAx>
      <c:valAx>
        <c:axId val="454983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984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[艺校目录1130.xlsx]Sheet6!$D$56:$D$71</c:f>
              <c:strCache>
                <c:ptCount val="16"/>
                <c:pt idx="0">
                  <c:v>安徽省合肥市</c:v>
                </c:pt>
                <c:pt idx="1">
                  <c:v>安徽省马鞍山市</c:v>
                </c:pt>
                <c:pt idx="2">
                  <c:v>安徽省芜湖市</c:v>
                </c:pt>
                <c:pt idx="3">
                  <c:v>安徽省淮北市</c:v>
                </c:pt>
                <c:pt idx="4">
                  <c:v>安徽省滁州市</c:v>
                </c:pt>
                <c:pt idx="5">
                  <c:v>安徽省蚌埠市</c:v>
                </c:pt>
                <c:pt idx="6">
                  <c:v>安徽省亳州市</c:v>
                </c:pt>
                <c:pt idx="7">
                  <c:v>安徽省池州市</c:v>
                </c:pt>
                <c:pt idx="8">
                  <c:v>安徽省六安市</c:v>
                </c:pt>
                <c:pt idx="9">
                  <c:v>安徽省铜陵市</c:v>
                </c:pt>
                <c:pt idx="10">
                  <c:v>安徽省宿州市</c:v>
                </c:pt>
                <c:pt idx="11">
                  <c:v>安徽省阜阳市</c:v>
                </c:pt>
                <c:pt idx="12">
                  <c:v>安徽省淮南市</c:v>
                </c:pt>
                <c:pt idx="13">
                  <c:v>安徽省黄山市</c:v>
                </c:pt>
                <c:pt idx="14">
                  <c:v>安徽省安庆市</c:v>
                </c:pt>
                <c:pt idx="15">
                  <c:v>安徽省宣城市</c:v>
                </c:pt>
              </c:strCache>
            </c:strRef>
          </c:cat>
          <c:val>
            <c:numRef>
              <c:f>[艺校目录1130.xlsx]Sheet6!$E$56:$E$71</c:f>
              <c:numCache>
                <c:formatCode>0.00%</c:formatCode>
                <c:ptCount val="16"/>
                <c:pt idx="0">
                  <c:v>0.7821</c:v>
                </c:pt>
                <c:pt idx="1">
                  <c:v>0.625</c:v>
                </c:pt>
                <c:pt idx="2">
                  <c:v>0.4444</c:v>
                </c:pt>
                <c:pt idx="3">
                  <c:v>0.4286</c:v>
                </c:pt>
                <c:pt idx="4">
                  <c:v>0.425</c:v>
                </c:pt>
                <c:pt idx="5">
                  <c:v>0.375</c:v>
                </c:pt>
                <c:pt idx="6">
                  <c:v>0.3143</c:v>
                </c:pt>
                <c:pt idx="7">
                  <c:v>0.2857</c:v>
                </c:pt>
                <c:pt idx="8">
                  <c:v>0.2742</c:v>
                </c:pt>
                <c:pt idx="9">
                  <c:v>0.2593</c:v>
                </c:pt>
                <c:pt idx="10">
                  <c:v>0.25</c:v>
                </c:pt>
                <c:pt idx="11">
                  <c:v>0.2286</c:v>
                </c:pt>
                <c:pt idx="12">
                  <c:v>0.2069</c:v>
                </c:pt>
                <c:pt idx="13">
                  <c:v>0.2</c:v>
                </c:pt>
                <c:pt idx="14">
                  <c:v>0.1702</c:v>
                </c:pt>
                <c:pt idx="15">
                  <c:v>0.0909</c:v>
                </c:pt>
              </c:numCache>
            </c:numRef>
          </c:val>
        </c:ser>
        <c:dLbls>
          <c:showLegendKey val="0"/>
          <c:showVal val="0"/>
          <c:showCatName val="0"/>
          <c:showSerName val="0"/>
          <c:showPercent val="0"/>
          <c:showBubbleSize val="0"/>
        </c:dLbls>
        <c:gapWidth val="51"/>
        <c:axId val="556308888"/>
        <c:axId val="556314464"/>
      </c:barChart>
      <c:catAx>
        <c:axId val="556308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314464"/>
        <c:crosses val="autoZero"/>
        <c:auto val="1"/>
        <c:lblAlgn val="ctr"/>
        <c:lblOffset val="100"/>
        <c:noMultiLvlLbl val="0"/>
      </c:catAx>
      <c:valAx>
        <c:axId val="556314464"/>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308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[艺校目录1130.xlsx]Sheet2!$E$35:$E$37</c:f>
              <c:strCache>
                <c:ptCount val="3"/>
                <c:pt idx="0">
                  <c:v>艺术设计传媒大类</c:v>
                </c:pt>
                <c:pt idx="1">
                  <c:v>交通运输大类</c:v>
                </c:pt>
                <c:pt idx="2">
                  <c:v>文化教育大类</c:v>
                </c:pt>
              </c:strCache>
            </c:strRef>
          </c:cat>
          <c:val>
            <c:numRef>
              <c:f>[艺校目录1130.xlsx]Sheet2!$F$35:$F$37</c:f>
              <c:numCache>
                <c:formatCode>General</c:formatCode>
                <c:ptCount val="3"/>
                <c:pt idx="0">
                  <c:v>670</c:v>
                </c:pt>
                <c:pt idx="1">
                  <c:v>50</c:v>
                </c:pt>
                <c:pt idx="2">
                  <c:v>2</c:v>
                </c:pt>
              </c:numCache>
            </c:numRef>
          </c:val>
        </c:ser>
        <c:dLbls>
          <c:showLegendKey val="0"/>
          <c:showVal val="1"/>
          <c:showCatName val="0"/>
          <c:showSerName val="0"/>
          <c:showPercent val="0"/>
          <c:showBubbleSize val="0"/>
        </c:dLbls>
        <c:gapWidth val="133"/>
        <c:overlap val="-27"/>
        <c:axId val="449617104"/>
        <c:axId val="452005864"/>
      </c:barChart>
      <c:catAx>
        <c:axId val="44961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005864"/>
        <c:crosses val="autoZero"/>
        <c:auto val="1"/>
        <c:lblAlgn val="ctr"/>
        <c:lblOffset val="100"/>
        <c:noMultiLvlLbl val="0"/>
      </c:catAx>
      <c:valAx>
        <c:axId val="452005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61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[艺校目录1225.xlsx]Sheet1!$E$50:$E$51</c:f>
              <c:strCache>
                <c:ptCount val="2"/>
                <c:pt idx="0">
                  <c:v>汉族</c:v>
                </c:pt>
                <c:pt idx="1">
                  <c:v>回族</c:v>
                </c:pt>
              </c:strCache>
            </c:strRef>
          </c:cat>
          <c:val>
            <c:numRef>
              <c:f>[艺校目录1225.xlsx]Sheet1!$F$50:$F$51</c:f>
              <c:numCache>
                <c:formatCode>General</c:formatCode>
                <c:ptCount val="2"/>
                <c:pt idx="0">
                  <c:v>714</c:v>
                </c:pt>
                <c:pt idx="1">
                  <c:v>8</c:v>
                </c:pt>
              </c:numCache>
            </c:numRef>
          </c:val>
        </c:ser>
        <c:dLbls>
          <c:showLegendKey val="0"/>
          <c:showVal val="1"/>
          <c:showCatName val="0"/>
          <c:showSerName val="0"/>
          <c:showPercent val="0"/>
          <c:showBubbleSize val="0"/>
        </c:dLbls>
        <c:gapWidth val="219"/>
        <c:overlap val="-27"/>
        <c:axId val="448038024"/>
        <c:axId val="448041304"/>
      </c:barChart>
      <c:catAx>
        <c:axId val="44803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041304"/>
        <c:crosses val="autoZero"/>
        <c:auto val="1"/>
        <c:lblAlgn val="ctr"/>
        <c:lblOffset val="100"/>
        <c:noMultiLvlLbl val="0"/>
      </c:catAx>
      <c:valAx>
        <c:axId val="44804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038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6852836879433"/>
          <c:y val="0.0469644902634593"/>
          <c:w val="0.915935283687943"/>
          <c:h val="0.839266895761741"/>
        </c:manualLayout>
      </c:layout>
      <c:barChart>
        <c:barDir val="col"/>
        <c:grouping val="cluster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[艺校目录1130.xlsx]Sheet3!$E$47:$E$51</c:f>
              <c:strCache>
                <c:ptCount val="5"/>
                <c:pt idx="0">
                  <c:v>安徽省</c:v>
                </c:pt>
                <c:pt idx="1">
                  <c:v>江西省</c:v>
                </c:pt>
                <c:pt idx="2">
                  <c:v>河南省</c:v>
                </c:pt>
                <c:pt idx="3">
                  <c:v>湖北省</c:v>
                </c:pt>
                <c:pt idx="4">
                  <c:v>广东省</c:v>
                </c:pt>
              </c:strCache>
            </c:strRef>
          </c:cat>
          <c:val>
            <c:numRef>
              <c:f>[艺校目录1130.xlsx]Sheet3!$F$47:$F$51</c:f>
              <c:numCache>
                <c:formatCode>General</c:formatCode>
                <c:ptCount val="5"/>
                <c:pt idx="0">
                  <c:v>689</c:v>
                </c:pt>
                <c:pt idx="1">
                  <c:v>29</c:v>
                </c:pt>
                <c:pt idx="2">
                  <c:v>2</c:v>
                </c:pt>
                <c:pt idx="3">
                  <c:v>1</c:v>
                </c:pt>
                <c:pt idx="4">
                  <c:v>1</c:v>
                </c:pt>
              </c:numCache>
            </c:numRef>
          </c:val>
        </c:ser>
        <c:dLbls>
          <c:showLegendKey val="0"/>
          <c:showVal val="0"/>
          <c:showCatName val="0"/>
          <c:showSerName val="0"/>
          <c:showPercent val="0"/>
          <c:showBubbleSize val="0"/>
        </c:dLbls>
        <c:gapWidth val="150"/>
        <c:axId val="452259432"/>
        <c:axId val="452260088"/>
      </c:barChart>
      <c:catAx>
        <c:axId val="452259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260088"/>
        <c:crosses val="autoZero"/>
        <c:auto val="1"/>
        <c:lblAlgn val="ctr"/>
        <c:lblOffset val="100"/>
        <c:noMultiLvlLbl val="0"/>
      </c:catAx>
      <c:valAx>
        <c:axId val="452260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259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[艺校目录1225.xlsx]Sheet3!$E$120</c:f>
              <c:strCache>
                <c:ptCount val="1"/>
                <c:pt idx="0">
                  <c:v>人数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[艺校目录1225.xlsx]Sheet3!$D$121:$D$136</c:f>
              <c:strCache>
                <c:ptCount val="16"/>
                <c:pt idx="0">
                  <c:v>合肥市</c:v>
                </c:pt>
                <c:pt idx="1">
                  <c:v>阜阳市</c:v>
                </c:pt>
                <c:pt idx="2">
                  <c:v>六安市</c:v>
                </c:pt>
                <c:pt idx="3">
                  <c:v>淮南市</c:v>
                </c:pt>
                <c:pt idx="4">
                  <c:v>安庆市</c:v>
                </c:pt>
                <c:pt idx="5">
                  <c:v>宿州市</c:v>
                </c:pt>
                <c:pt idx="6">
                  <c:v>滁州市</c:v>
                </c:pt>
                <c:pt idx="7">
                  <c:v>亳州市</c:v>
                </c:pt>
                <c:pt idx="8">
                  <c:v>芜湖市</c:v>
                </c:pt>
                <c:pt idx="9">
                  <c:v>铜陵市</c:v>
                </c:pt>
                <c:pt idx="10">
                  <c:v>蚌埠市</c:v>
                </c:pt>
                <c:pt idx="11">
                  <c:v>宣城市</c:v>
                </c:pt>
                <c:pt idx="12">
                  <c:v>淮北市</c:v>
                </c:pt>
                <c:pt idx="13">
                  <c:v>池州市</c:v>
                </c:pt>
                <c:pt idx="14">
                  <c:v>马鞍山市</c:v>
                </c:pt>
                <c:pt idx="15">
                  <c:v>黄山市</c:v>
                </c:pt>
              </c:strCache>
            </c:strRef>
          </c:cat>
          <c:val>
            <c:numRef>
              <c:f>[艺校目录1225.xlsx]Sheet3!$E$121:$E$136</c:f>
              <c:numCache>
                <c:formatCode>General</c:formatCode>
                <c:ptCount val="16"/>
                <c:pt idx="0">
                  <c:v>168</c:v>
                </c:pt>
                <c:pt idx="1">
                  <c:v>70</c:v>
                </c:pt>
                <c:pt idx="2">
                  <c:v>67</c:v>
                </c:pt>
                <c:pt idx="3">
                  <c:v>60</c:v>
                </c:pt>
                <c:pt idx="4">
                  <c:v>48</c:v>
                </c:pt>
                <c:pt idx="5">
                  <c:v>46</c:v>
                </c:pt>
                <c:pt idx="6">
                  <c:v>45</c:v>
                </c:pt>
                <c:pt idx="7">
                  <c:v>37</c:v>
                </c:pt>
                <c:pt idx="8">
                  <c:v>29</c:v>
                </c:pt>
                <c:pt idx="9">
                  <c:v>28</c:v>
                </c:pt>
                <c:pt idx="10">
                  <c:v>27</c:v>
                </c:pt>
                <c:pt idx="11">
                  <c:v>22</c:v>
                </c:pt>
                <c:pt idx="12">
                  <c:v>15</c:v>
                </c:pt>
                <c:pt idx="13">
                  <c:v>14</c:v>
                </c:pt>
                <c:pt idx="14">
                  <c:v>8</c:v>
                </c:pt>
                <c:pt idx="15">
                  <c:v>5</c:v>
                </c:pt>
              </c:numCache>
            </c:numRef>
          </c:val>
        </c:ser>
        <c:dLbls>
          <c:showLegendKey val="0"/>
          <c:showVal val="0"/>
          <c:showCatName val="0"/>
          <c:showSerName val="0"/>
          <c:showPercent val="0"/>
          <c:showBubbleSize val="0"/>
        </c:dLbls>
        <c:gapWidth val="82"/>
        <c:overlap val="0"/>
        <c:axId val="456120304"/>
        <c:axId val="456117352"/>
      </c:barChart>
      <c:lineChart>
        <c:grouping val="standard"/>
        <c:varyColors val="0"/>
        <c:ser>
          <c:idx val="1"/>
          <c:order val="1"/>
          <c:tx>
            <c:strRef>
              <c:f>[艺校目录1225.xlsx]Sheet3!$F$120</c:f>
              <c:strCache>
                <c:ptCount val="1"/>
                <c:pt idx="0">
                  <c:v>比例</c:v>
                </c:pt>
              </c:strCache>
            </c:strRef>
          </c:tx>
          <c:spPr>
            <a:ln w="28575" cap="rnd">
              <a:solidFill>
                <a:schemeClr val="accent4"/>
              </a:solidFill>
              <a:round/>
            </a:ln>
            <a:effectLst/>
          </c:spPr>
          <c:marker>
            <c:symbol val="none"/>
          </c:marker>
          <c:dLbls>
            <c:delete val="1"/>
          </c:dLbls>
          <c:cat>
            <c:strRef>
              <c:f>[艺校目录1225.xlsx]Sheet3!$D$121:$D$136</c:f>
              <c:strCache>
                <c:ptCount val="16"/>
                <c:pt idx="0">
                  <c:v>合肥市</c:v>
                </c:pt>
                <c:pt idx="1">
                  <c:v>阜阳市</c:v>
                </c:pt>
                <c:pt idx="2">
                  <c:v>六安市</c:v>
                </c:pt>
                <c:pt idx="3">
                  <c:v>淮南市</c:v>
                </c:pt>
                <c:pt idx="4">
                  <c:v>安庆市</c:v>
                </c:pt>
                <c:pt idx="5">
                  <c:v>宿州市</c:v>
                </c:pt>
                <c:pt idx="6">
                  <c:v>滁州市</c:v>
                </c:pt>
                <c:pt idx="7">
                  <c:v>亳州市</c:v>
                </c:pt>
                <c:pt idx="8">
                  <c:v>芜湖市</c:v>
                </c:pt>
                <c:pt idx="9">
                  <c:v>铜陵市</c:v>
                </c:pt>
                <c:pt idx="10">
                  <c:v>蚌埠市</c:v>
                </c:pt>
                <c:pt idx="11">
                  <c:v>宣城市</c:v>
                </c:pt>
                <c:pt idx="12">
                  <c:v>淮北市</c:v>
                </c:pt>
                <c:pt idx="13">
                  <c:v>池州市</c:v>
                </c:pt>
                <c:pt idx="14">
                  <c:v>马鞍山市</c:v>
                </c:pt>
                <c:pt idx="15">
                  <c:v>黄山市</c:v>
                </c:pt>
              </c:strCache>
            </c:strRef>
          </c:cat>
          <c:val>
            <c:numRef>
              <c:f>[艺校目录1225.xlsx]Sheet3!$F$121:$F$136</c:f>
              <c:numCache>
                <c:formatCode>0.00%</c:formatCode>
                <c:ptCount val="16"/>
                <c:pt idx="0">
                  <c:v>0.2438</c:v>
                </c:pt>
                <c:pt idx="1">
                  <c:v>0.1016</c:v>
                </c:pt>
                <c:pt idx="2">
                  <c:v>0.0972</c:v>
                </c:pt>
                <c:pt idx="3">
                  <c:v>0.0871</c:v>
                </c:pt>
                <c:pt idx="4">
                  <c:v>0.0697</c:v>
                </c:pt>
                <c:pt idx="5">
                  <c:v>0.0668</c:v>
                </c:pt>
                <c:pt idx="6">
                  <c:v>0.0653</c:v>
                </c:pt>
                <c:pt idx="7">
                  <c:v>0.0537</c:v>
                </c:pt>
                <c:pt idx="8">
                  <c:v>0.0421</c:v>
                </c:pt>
                <c:pt idx="9">
                  <c:v>0.0406</c:v>
                </c:pt>
                <c:pt idx="10">
                  <c:v>0.0392</c:v>
                </c:pt>
                <c:pt idx="11">
                  <c:v>0.0319</c:v>
                </c:pt>
                <c:pt idx="12">
                  <c:v>0.0218</c:v>
                </c:pt>
                <c:pt idx="13">
                  <c:v>0.0203</c:v>
                </c:pt>
                <c:pt idx="14">
                  <c:v>0.0116</c:v>
                </c:pt>
                <c:pt idx="15">
                  <c:v>0.0073</c:v>
                </c:pt>
              </c:numCache>
            </c:numRef>
          </c:val>
          <c:smooth val="0"/>
        </c:ser>
        <c:dLbls>
          <c:showLegendKey val="0"/>
          <c:showVal val="0"/>
          <c:showCatName val="0"/>
          <c:showSerName val="0"/>
          <c:showPercent val="0"/>
          <c:showBubbleSize val="0"/>
        </c:dLbls>
        <c:marker val="0"/>
        <c:smooth val="0"/>
        <c:axId val="450564032"/>
        <c:axId val="450563704"/>
      </c:lineChart>
      <c:catAx>
        <c:axId val="45612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117352"/>
        <c:crosses val="autoZero"/>
        <c:auto val="1"/>
        <c:lblAlgn val="ctr"/>
        <c:lblOffset val="100"/>
        <c:noMultiLvlLbl val="0"/>
      </c:catAx>
      <c:valAx>
        <c:axId val="456117352"/>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120304"/>
        <c:crosses val="autoZero"/>
        <c:crossBetween val="between"/>
      </c:valAx>
      <c:catAx>
        <c:axId val="450564032"/>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0563704"/>
        <c:crosses val="autoZero"/>
        <c:auto val="1"/>
        <c:lblAlgn val="ctr"/>
        <c:lblOffset val="100"/>
        <c:noMultiLvlLbl val="0"/>
      </c:catAx>
      <c:valAx>
        <c:axId val="450563704"/>
        <c:scaling>
          <c:orientation val="minMax"/>
        </c:scaling>
        <c:delete val="0"/>
        <c:axPos val="r"/>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056403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dPt>
          <c:dPt>
            <c:idx val="2"/>
            <c:invertIfNegative val="0"/>
            <c:bubble3D val="0"/>
            <c:spPr>
              <a:solidFill>
                <a:schemeClr val="accent4"/>
              </a:solidFill>
              <a:ln>
                <a:noFill/>
              </a:ln>
              <a:effectLst/>
              <a:sp3d/>
            </c:spPr>
          </c:dPt>
          <c:dLbls>
            <c:dLbl>
              <c:idx val="0"/>
              <c:layout>
                <c:manualLayout>
                  <c:x val="0.0138888888888888"/>
                  <c:y val="-0.01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[艺校目录1130.xlsx]Sheet3!$D$152:$D$154</c:f>
              <c:strCache>
                <c:ptCount val="3"/>
                <c:pt idx="0">
                  <c:v>男</c:v>
                </c:pt>
                <c:pt idx="1">
                  <c:v>女</c:v>
                </c:pt>
                <c:pt idx="2">
                  <c:v>合计</c:v>
                </c:pt>
              </c:strCache>
            </c:strRef>
          </c:cat>
          <c:val>
            <c:numRef>
              <c:f>[艺校目录1130.xlsx]Sheet3!$E$152:$E$154</c:f>
              <c:numCache>
                <c:formatCode>0.00%</c:formatCode>
                <c:ptCount val="3"/>
                <c:pt idx="0">
                  <c:v>0.9621</c:v>
                </c:pt>
                <c:pt idx="1">
                  <c:v>0.9323</c:v>
                </c:pt>
                <c:pt idx="2">
                  <c:v>0.9432</c:v>
                </c:pt>
              </c:numCache>
            </c:numRef>
          </c:val>
        </c:ser>
        <c:dLbls>
          <c:showLegendKey val="0"/>
          <c:showVal val="0"/>
          <c:showCatName val="0"/>
          <c:showSerName val="0"/>
          <c:showPercent val="0"/>
          <c:showBubbleSize val="0"/>
        </c:dLbls>
        <c:gapWidth val="150"/>
        <c:axId val="544810592"/>
        <c:axId val="544811576"/>
      </c:barChart>
      <c:catAx>
        <c:axId val="544810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811576"/>
        <c:crosses val="autoZero"/>
        <c:auto val="1"/>
        <c:lblAlgn val="ctr"/>
        <c:lblOffset val="100"/>
        <c:noMultiLvlLbl val="0"/>
      </c:catAx>
      <c:valAx>
        <c:axId val="544811576"/>
        <c:scaling>
          <c:orientation val="minMax"/>
          <c:max val="1"/>
          <c:min val="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81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[艺校目录1130.xlsx]Sheet3!$C$181:$C$187</c:f>
              <c:strCache>
                <c:ptCount val="7"/>
                <c:pt idx="0">
                  <c:v>滁州分校</c:v>
                </c:pt>
                <c:pt idx="1">
                  <c:v>美术系</c:v>
                </c:pt>
                <c:pt idx="2">
                  <c:v>综艺系</c:v>
                </c:pt>
                <c:pt idx="3">
                  <c:v>戏剧系</c:v>
                </c:pt>
                <c:pt idx="4">
                  <c:v>舞蹈系</c:v>
                </c:pt>
                <c:pt idx="5">
                  <c:v>音乐系</c:v>
                </c:pt>
                <c:pt idx="6">
                  <c:v>戏曲系</c:v>
                </c:pt>
              </c:strCache>
            </c:strRef>
          </c:cat>
          <c:val>
            <c:numRef>
              <c:f>[艺校目录1130.xlsx]Sheet3!$D$181:$D$187</c:f>
              <c:numCache>
                <c:formatCode>0.00%</c:formatCode>
                <c:ptCount val="7"/>
                <c:pt idx="0">
                  <c:v>1</c:v>
                </c:pt>
                <c:pt idx="1">
                  <c:v>0.969</c:v>
                </c:pt>
                <c:pt idx="2">
                  <c:v>0.9672</c:v>
                </c:pt>
                <c:pt idx="3">
                  <c:v>0.9403</c:v>
                </c:pt>
                <c:pt idx="4">
                  <c:v>0.94</c:v>
                </c:pt>
                <c:pt idx="5">
                  <c:v>0.8868</c:v>
                </c:pt>
                <c:pt idx="6">
                  <c:v>0.8333</c:v>
                </c:pt>
              </c:numCache>
            </c:numRef>
          </c:val>
        </c:ser>
        <c:dLbls>
          <c:showLegendKey val="0"/>
          <c:showVal val="1"/>
          <c:showCatName val="0"/>
          <c:showSerName val="0"/>
          <c:showPercent val="0"/>
          <c:showBubbleSize val="0"/>
        </c:dLbls>
        <c:gapWidth val="97"/>
        <c:overlap val="-27"/>
        <c:axId val="456091024"/>
        <c:axId val="456091352"/>
      </c:barChart>
      <c:catAx>
        <c:axId val="45609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091352"/>
        <c:crosses val="autoZero"/>
        <c:auto val="1"/>
        <c:lblAlgn val="ctr"/>
        <c:lblOffset val="100"/>
        <c:noMultiLvlLbl val="0"/>
      </c:catAx>
      <c:valAx>
        <c:axId val="456091352"/>
        <c:scaling>
          <c:orientation val="minMax"/>
          <c:min val="0.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09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[艺校目录1130.xlsx]Sheet4!$E$11</c:f>
              <c:strCache>
                <c:ptCount val="1"/>
                <c:pt idx="0">
                  <c:v>未就业率</c:v>
                </c:pt>
              </c:strCache>
            </c:strRef>
          </c:tx>
          <c:spPr>
            <a:solidFill>
              <a:schemeClr val="tx2">
                <a:lumMod val="60000"/>
                <a:lumOff val="40000"/>
              </a:schemeClr>
            </a:solidFill>
            <a:ln>
              <a:noFill/>
            </a:ln>
            <a:effectLst/>
            <a:sp3d/>
          </c:spPr>
          <c:invertIfNegative val="0"/>
          <c:dPt>
            <c:idx val="1"/>
            <c:invertIfNegative val="0"/>
            <c:bubble3D val="0"/>
            <c:spPr>
              <a:solidFill>
                <a:schemeClr val="accent2"/>
              </a:solidFill>
              <a:ln>
                <a:noFill/>
              </a:ln>
              <a:effectLst/>
              <a:sp3d/>
            </c:spPr>
          </c:dPt>
          <c:dPt>
            <c:idx val="2"/>
            <c:invertIfNegative val="0"/>
            <c:bubble3D val="0"/>
            <c:spPr>
              <a:solidFill>
                <a:schemeClr val="accent4">
                  <a:lumMod val="60000"/>
                  <a:lumOff val="40000"/>
                </a:schemeClr>
              </a:solidFill>
              <a:ln>
                <a:noFill/>
              </a:ln>
              <a:effectLst/>
              <a:sp3d/>
            </c:spPr>
          </c:dPt>
          <c:dLbls>
            <c:dLbl>
              <c:idx val="0"/>
              <c:layout>
                <c:manualLayout>
                  <c:x val="0.00833333333333333"/>
                  <c:y val="-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2222222222222"/>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7777777777777"/>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[艺校目录1130.xlsx]Sheet4!$D$12:$D$14</c:f>
              <c:strCache>
                <c:ptCount val="3"/>
                <c:pt idx="0">
                  <c:v>男</c:v>
                </c:pt>
                <c:pt idx="1">
                  <c:v>女</c:v>
                </c:pt>
                <c:pt idx="2">
                  <c:v>合计</c:v>
                </c:pt>
              </c:strCache>
            </c:strRef>
          </c:cat>
          <c:val>
            <c:numRef>
              <c:f>[艺校目录1130.xlsx]Sheet4!$E$12:$E$14</c:f>
              <c:numCache>
                <c:formatCode>0.00%</c:formatCode>
                <c:ptCount val="3"/>
                <c:pt idx="0">
                  <c:v>0.0379</c:v>
                </c:pt>
                <c:pt idx="1">
                  <c:v>0.0677</c:v>
                </c:pt>
                <c:pt idx="2">
                  <c:v>0.0568</c:v>
                </c:pt>
              </c:numCache>
            </c:numRef>
          </c:val>
        </c:ser>
        <c:dLbls>
          <c:showLegendKey val="0"/>
          <c:showVal val="0"/>
          <c:showCatName val="0"/>
          <c:showSerName val="0"/>
          <c:showPercent val="0"/>
          <c:showBubbleSize val="0"/>
        </c:dLbls>
        <c:gapWidth val="150"/>
        <c:axId val="550595536"/>
        <c:axId val="550595864"/>
      </c:barChart>
      <c:catAx>
        <c:axId val="550595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0595864"/>
        <c:crosses val="autoZero"/>
        <c:auto val="1"/>
        <c:lblAlgn val="ctr"/>
        <c:lblOffset val="100"/>
        <c:noMultiLvlLbl val="0"/>
      </c:catAx>
      <c:valAx>
        <c:axId val="550595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059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[艺校目录1130.xlsx]Sheet4!$G$38</c:f>
              <c:strCache>
                <c:ptCount val="1"/>
                <c:pt idx="0">
                  <c:v>未就业率</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[艺校目录1130.xlsx]Sheet4!$F$39:$F$45</c:f>
              <c:strCache>
                <c:ptCount val="7"/>
                <c:pt idx="0">
                  <c:v>戏曲系</c:v>
                </c:pt>
                <c:pt idx="1">
                  <c:v>音乐系</c:v>
                </c:pt>
                <c:pt idx="2">
                  <c:v>舞蹈系</c:v>
                </c:pt>
                <c:pt idx="3">
                  <c:v>戏剧系</c:v>
                </c:pt>
                <c:pt idx="4">
                  <c:v>综艺系</c:v>
                </c:pt>
                <c:pt idx="5">
                  <c:v>美术系</c:v>
                </c:pt>
                <c:pt idx="6">
                  <c:v>滁州分校</c:v>
                </c:pt>
              </c:strCache>
            </c:strRef>
          </c:cat>
          <c:val>
            <c:numRef>
              <c:f>[艺校目录1130.xlsx]Sheet4!$G$39:$G$45</c:f>
              <c:numCache>
                <c:formatCode>0.00%</c:formatCode>
                <c:ptCount val="7"/>
                <c:pt idx="0">
                  <c:v>0.1667</c:v>
                </c:pt>
                <c:pt idx="1">
                  <c:v>0.1132</c:v>
                </c:pt>
                <c:pt idx="2">
                  <c:v>0.06</c:v>
                </c:pt>
                <c:pt idx="3">
                  <c:v>0.0597</c:v>
                </c:pt>
                <c:pt idx="4">
                  <c:v>0.0328</c:v>
                </c:pt>
                <c:pt idx="5">
                  <c:v>0.031</c:v>
                </c:pt>
                <c:pt idx="6">
                  <c:v>0</c:v>
                </c:pt>
              </c:numCache>
            </c:numRef>
          </c:val>
        </c:ser>
        <c:dLbls>
          <c:showLegendKey val="0"/>
          <c:showVal val="0"/>
          <c:showCatName val="0"/>
          <c:showSerName val="0"/>
          <c:showPercent val="0"/>
          <c:showBubbleSize val="0"/>
        </c:dLbls>
        <c:gapWidth val="138"/>
        <c:overlap val="-27"/>
        <c:axId val="441821800"/>
        <c:axId val="441820488"/>
      </c:barChart>
      <c:catAx>
        <c:axId val="44182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820488"/>
        <c:crosses val="autoZero"/>
        <c:auto val="1"/>
        <c:lblAlgn val="ctr"/>
        <c:lblOffset val="100"/>
        <c:noMultiLvlLbl val="0"/>
      </c:catAx>
      <c:valAx>
        <c:axId val="441820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821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withinLinear" id="15">
  <a:schemeClr val="accent2"/>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97303-E63E-489E-89D5-53E781CEBA5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342</Words>
  <Characters>1953</Characters>
  <Lines>16</Lines>
  <Paragraphs>4</Paragraphs>
  <ScaleCrop>false</ScaleCrop>
  <LinksUpToDate>false</LinksUpToDate>
  <CharactersWithSpaces>2291</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2017-11-07T03:13:00Z</dcterms:created>
  <dc:creator>Administrator</dc:creator>
  <cp:lastModifiedBy>Administrator</cp:lastModifiedBy>
  <dcterms:modified xsi:type="dcterms:W3CDTF">2017-12-25T21:46:42Z</dcterms:modified>
  <cp:revision>518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